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289" w:type="dxa"/>
        <w:tblLayout w:type="fixed"/>
        <w:tblCellMar>
          <w:left w:w="10" w:type="dxa"/>
          <w:right w:w="10" w:type="dxa"/>
        </w:tblCellMar>
        <w:tblLook w:val="0000" w:firstRow="0" w:lastRow="0" w:firstColumn="0" w:lastColumn="0" w:noHBand="0" w:noVBand="0"/>
      </w:tblPr>
      <w:tblGrid>
        <w:gridCol w:w="11057"/>
      </w:tblGrid>
      <w:tr w:rsidR="00414D2E" w14:paraId="7A67AA10" w14:textId="77777777">
        <w:trPr>
          <w:trHeight w:val="757"/>
        </w:trPr>
        <w:tc>
          <w:tcPr>
            <w:tcW w:w="110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132C0F6" w14:textId="77777777" w:rsidR="00414D2E" w:rsidRDefault="00EC6D47" w:rsidP="008D15D3">
            <w:pPr>
              <w:pStyle w:val="Standard"/>
              <w:keepNext/>
              <w:spacing w:before="120" w:after="120" w:line="240" w:lineRule="auto"/>
              <w:jc w:val="center"/>
            </w:pPr>
            <w:r>
              <w:rPr>
                <w:rFonts w:ascii="Arial" w:eastAsia="Times New Roman" w:hAnsi="Arial" w:cs="Arial"/>
                <w:b/>
                <w:bCs/>
                <w:sz w:val="28"/>
                <w:szCs w:val="28"/>
              </w:rPr>
              <w:t>P</w:t>
            </w:r>
            <w:bookmarkStart w:id="0" w:name="_Ref308702922"/>
            <w:r>
              <w:rPr>
                <w:rFonts w:ascii="Arial" w:eastAsia="Times New Roman" w:hAnsi="Arial" w:cs="Arial"/>
                <w:b/>
                <w:bCs/>
                <w:sz w:val="28"/>
                <w:szCs w:val="28"/>
              </w:rPr>
              <w:t>rogramme Specification</w:t>
            </w:r>
            <w:bookmarkEnd w:id="0"/>
          </w:p>
          <w:p w14:paraId="7DA9B1EB" w14:textId="721B7E47" w:rsidR="004E6AF5" w:rsidRDefault="004E6AF5">
            <w:pPr>
              <w:pStyle w:val="Standard"/>
              <w:keepNext/>
              <w:spacing w:after="120" w:line="240" w:lineRule="auto"/>
              <w:jc w:val="center"/>
              <w:rPr>
                <w:rFonts w:ascii="Arial" w:eastAsia="Times New Roman" w:hAnsi="Arial" w:cs="Arial"/>
                <w:b/>
                <w:bCs/>
                <w:sz w:val="28"/>
                <w:szCs w:val="28"/>
              </w:rPr>
            </w:pPr>
            <w:r>
              <w:rPr>
                <w:rFonts w:ascii="Arial" w:eastAsia="Times New Roman" w:hAnsi="Arial" w:cs="Arial"/>
                <w:b/>
                <w:bCs/>
                <w:sz w:val="28"/>
                <w:szCs w:val="28"/>
              </w:rPr>
              <w:t>HND Engineering (Electrical and Electronic Engineering)</w:t>
            </w:r>
          </w:p>
          <w:p w14:paraId="43219541" w14:textId="6F32746F" w:rsidR="00414D2E" w:rsidRDefault="00EC6D47">
            <w:pPr>
              <w:pStyle w:val="Standard"/>
              <w:keepNext/>
              <w:spacing w:after="120" w:line="240" w:lineRule="auto"/>
              <w:jc w:val="center"/>
              <w:rPr>
                <w:rFonts w:ascii="Arial" w:eastAsia="Times New Roman" w:hAnsi="Arial" w:cs="Arial"/>
                <w:b/>
                <w:bCs/>
                <w:sz w:val="28"/>
                <w:szCs w:val="28"/>
              </w:rPr>
            </w:pPr>
            <w:r>
              <w:rPr>
                <w:rFonts w:ascii="Arial" w:eastAsia="Times New Roman" w:hAnsi="Arial" w:cs="Arial"/>
                <w:b/>
                <w:bCs/>
                <w:sz w:val="28"/>
                <w:szCs w:val="28"/>
              </w:rPr>
              <w:t>HND Engineering (Electrical a</w:t>
            </w:r>
            <w:r w:rsidR="006B7A51">
              <w:rPr>
                <w:rFonts w:ascii="Arial" w:eastAsia="Times New Roman" w:hAnsi="Arial" w:cs="Arial"/>
                <w:b/>
                <w:bCs/>
                <w:sz w:val="28"/>
                <w:szCs w:val="28"/>
              </w:rPr>
              <w:t>nd Electronic Engineering) Top-U</w:t>
            </w:r>
            <w:r>
              <w:rPr>
                <w:rFonts w:ascii="Arial" w:eastAsia="Times New Roman" w:hAnsi="Arial" w:cs="Arial"/>
                <w:b/>
                <w:bCs/>
                <w:sz w:val="28"/>
                <w:szCs w:val="28"/>
              </w:rPr>
              <w:t>p</w:t>
            </w:r>
          </w:p>
        </w:tc>
      </w:tr>
    </w:tbl>
    <w:p w14:paraId="75F424A4" w14:textId="77777777" w:rsidR="00414D2E" w:rsidRDefault="00414D2E">
      <w:pPr>
        <w:pStyle w:val="Standard"/>
        <w:tabs>
          <w:tab w:val="left" w:pos="720"/>
          <w:tab w:val="left" w:pos="1080"/>
        </w:tabs>
        <w:spacing w:after="0" w:line="240" w:lineRule="auto"/>
        <w:rPr>
          <w:rFonts w:ascii="Arial" w:eastAsia="Times New Roman" w:hAnsi="Arial" w:cs="Arial"/>
          <w:sz w:val="16"/>
          <w:szCs w:val="16"/>
        </w:rPr>
      </w:pPr>
    </w:p>
    <w:tbl>
      <w:tblPr>
        <w:tblW w:w="11097" w:type="dxa"/>
        <w:jc w:val="center"/>
        <w:tblLayout w:type="fixed"/>
        <w:tblCellMar>
          <w:left w:w="10" w:type="dxa"/>
          <w:right w:w="10" w:type="dxa"/>
        </w:tblCellMar>
        <w:tblLook w:val="0000" w:firstRow="0" w:lastRow="0" w:firstColumn="0" w:lastColumn="0" w:noHBand="0" w:noVBand="0"/>
      </w:tblPr>
      <w:tblGrid>
        <w:gridCol w:w="650"/>
        <w:gridCol w:w="1451"/>
        <w:gridCol w:w="1633"/>
        <w:gridCol w:w="2676"/>
        <w:gridCol w:w="4687"/>
      </w:tblGrid>
      <w:tr w:rsidR="00414D2E" w14:paraId="6B142CDB" w14:textId="77777777">
        <w:trPr>
          <w:trHeight w:val="402"/>
          <w:jc w:val="center"/>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2E9918" w14:textId="77777777" w:rsidR="00414D2E" w:rsidRDefault="00414D2E">
            <w:pPr>
              <w:pStyle w:val="Standard"/>
              <w:numPr>
                <w:ilvl w:val="0"/>
                <w:numId w:val="19"/>
              </w:numPr>
              <w:tabs>
                <w:tab w:val="left" w:pos="720"/>
                <w:tab w:val="left" w:pos="1080"/>
              </w:tabs>
              <w:spacing w:after="0" w:line="240" w:lineRule="auto"/>
              <w:jc w:val="both"/>
              <w:rPr>
                <w:rFonts w:ascii="Arial" w:eastAsia="Times New Roman" w:hAnsi="Arial" w:cs="Arial"/>
                <w:sz w:val="24"/>
                <w:szCs w:val="24"/>
              </w:rPr>
            </w:pPr>
          </w:p>
        </w:tc>
        <w:tc>
          <w:tcPr>
            <w:tcW w:w="14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0B40EC0"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Key Dates</w:t>
            </w:r>
          </w:p>
        </w:tc>
        <w:tc>
          <w:tcPr>
            <w:tcW w:w="43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A6BE34"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Date of Production:</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5DBC4A7"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Latest Revision Date:</w:t>
            </w:r>
          </w:p>
        </w:tc>
      </w:tr>
      <w:tr w:rsidR="009C0DD2" w14:paraId="1F898A91" w14:textId="77777777">
        <w:trPr>
          <w:trHeight w:val="402"/>
          <w:jc w:val="center"/>
        </w:trPr>
        <w:tc>
          <w:tcPr>
            <w:tcW w:w="65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09C6DF" w14:textId="77777777" w:rsidR="009C0DD2" w:rsidRDefault="009C0DD2" w:rsidP="009C0DD2">
            <w:pPr>
              <w:suppressAutoHyphens w:val="0"/>
            </w:pPr>
          </w:p>
        </w:tc>
        <w:tc>
          <w:tcPr>
            <w:tcW w:w="14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21F0F7D" w14:textId="77777777" w:rsidR="009C0DD2" w:rsidRDefault="009C0DD2" w:rsidP="009C0DD2">
            <w:pPr>
              <w:suppressAutoHyphens w:val="0"/>
            </w:pPr>
          </w:p>
        </w:tc>
        <w:tc>
          <w:tcPr>
            <w:tcW w:w="43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CA1E3E9" w14:textId="77777777" w:rsidR="009C0DD2" w:rsidRDefault="009C0DD2" w:rsidP="009C0DD2">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March 2017</w:t>
            </w:r>
          </w:p>
        </w:tc>
        <w:tc>
          <w:tcPr>
            <w:tcW w:w="4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9B13D4C" w14:textId="2D8EE780" w:rsidR="009C0DD2" w:rsidRPr="00BF160F" w:rsidRDefault="00276563" w:rsidP="009C0DD2">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April</w:t>
            </w:r>
            <w:r w:rsidR="00AB1561" w:rsidRPr="00AB1561">
              <w:rPr>
                <w:rFonts w:ascii="Arial" w:eastAsia="Times New Roman" w:hAnsi="Arial" w:cs="Arial"/>
                <w:sz w:val="24"/>
                <w:szCs w:val="24"/>
              </w:rPr>
              <w:t xml:space="preserve"> 2022</w:t>
            </w:r>
          </w:p>
        </w:tc>
      </w:tr>
      <w:tr w:rsidR="000339E0" w14:paraId="551EFC1D" w14:textId="77777777">
        <w:trPr>
          <w:trHeight w:val="713"/>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959D30" w14:textId="77777777" w:rsidR="000339E0" w:rsidRDefault="000339E0" w:rsidP="000339E0">
            <w:pPr>
              <w:pStyle w:val="Standard"/>
              <w:numPr>
                <w:ilvl w:val="0"/>
                <w:numId w:val="2"/>
              </w:numPr>
              <w:tabs>
                <w:tab w:val="left" w:pos="720"/>
                <w:tab w:val="left" w:pos="1080"/>
              </w:tabs>
              <w:spacing w:after="0" w:line="240" w:lineRule="auto"/>
              <w:jc w:val="both"/>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6797734" w14:textId="77777777" w:rsidR="000339E0" w:rsidRDefault="000339E0" w:rsidP="000339E0">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School</w:t>
            </w:r>
          </w:p>
          <w:p w14:paraId="1CDEDE62" w14:textId="77777777" w:rsidR="000339E0" w:rsidRDefault="000339E0" w:rsidP="000339E0">
            <w:pPr>
              <w:pStyle w:val="Standard"/>
              <w:tabs>
                <w:tab w:val="left" w:pos="720"/>
                <w:tab w:val="left" w:pos="1080"/>
              </w:tabs>
              <w:spacing w:after="0" w:line="240" w:lineRule="auto"/>
              <w:rPr>
                <w:rFonts w:ascii="Arial" w:eastAsia="Times New Roman" w:hAnsi="Arial" w:cs="Arial"/>
                <w:b/>
                <w:sz w:val="24"/>
                <w:szCs w:val="24"/>
              </w:rPr>
            </w:pPr>
          </w:p>
          <w:p w14:paraId="75BB07A4" w14:textId="2D061CEF" w:rsidR="000339E0" w:rsidRDefault="000339E0" w:rsidP="000339E0">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Department</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32111BF" w14:textId="77777777" w:rsidR="000339E0" w:rsidRDefault="000339E0" w:rsidP="000339E0">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School of Engineering</w:t>
            </w:r>
          </w:p>
          <w:p w14:paraId="46B286E8" w14:textId="77777777" w:rsidR="000339E0" w:rsidRDefault="000339E0" w:rsidP="000339E0">
            <w:pPr>
              <w:pStyle w:val="Standard"/>
              <w:tabs>
                <w:tab w:val="left" w:pos="720"/>
                <w:tab w:val="left" w:pos="1080"/>
              </w:tabs>
              <w:spacing w:after="0" w:line="240" w:lineRule="auto"/>
              <w:rPr>
                <w:rFonts w:ascii="Arial" w:eastAsia="Times New Roman" w:hAnsi="Arial" w:cs="Arial"/>
                <w:sz w:val="24"/>
                <w:szCs w:val="24"/>
              </w:rPr>
            </w:pPr>
          </w:p>
          <w:p w14:paraId="49EE46CD" w14:textId="77777777" w:rsidR="000339E0" w:rsidRDefault="000339E0" w:rsidP="000339E0">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Construction and Engineering</w:t>
            </w:r>
          </w:p>
        </w:tc>
      </w:tr>
      <w:tr w:rsidR="00414D2E" w14:paraId="5694A358"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BAD5FB" w14:textId="77777777" w:rsidR="00414D2E" w:rsidRDefault="00414D2E">
            <w:pPr>
              <w:pStyle w:val="Standard"/>
              <w:numPr>
                <w:ilvl w:val="0"/>
                <w:numId w:val="2"/>
              </w:numPr>
              <w:tabs>
                <w:tab w:val="left" w:pos="720"/>
                <w:tab w:val="left" w:pos="1080"/>
              </w:tabs>
              <w:spacing w:after="0" w:line="240" w:lineRule="auto"/>
              <w:jc w:val="both"/>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AAFB1CF"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Awarding Organisation</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14531D0"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Pearson</w:t>
            </w:r>
          </w:p>
        </w:tc>
      </w:tr>
      <w:tr w:rsidR="00414D2E" w14:paraId="7E607B54"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4B5C4F" w14:textId="77777777" w:rsidR="00414D2E" w:rsidRDefault="00414D2E">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2112E0"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Teaching Institution</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4DDDC7C"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Bradford College</w:t>
            </w:r>
          </w:p>
        </w:tc>
      </w:tr>
      <w:tr w:rsidR="00414D2E" w14:paraId="00E20798"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683023" w14:textId="77777777" w:rsidR="00414D2E" w:rsidRDefault="00414D2E">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0B9AD5"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Precise title of the final award</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63FE1B4" w14:textId="77777777" w:rsidR="00414D2E" w:rsidRDefault="00EC6D47">
            <w:pPr>
              <w:pStyle w:val="Standard"/>
              <w:tabs>
                <w:tab w:val="left" w:pos="720"/>
                <w:tab w:val="left" w:pos="1080"/>
              </w:tabs>
              <w:spacing w:after="0" w:line="240" w:lineRule="auto"/>
              <w:rPr>
                <w:rFonts w:ascii="Arial" w:hAnsi="Arial"/>
                <w:sz w:val="24"/>
                <w:szCs w:val="24"/>
              </w:rPr>
            </w:pPr>
            <w:r>
              <w:rPr>
                <w:rFonts w:ascii="Arial" w:hAnsi="Arial"/>
                <w:sz w:val="24"/>
                <w:szCs w:val="24"/>
              </w:rPr>
              <w:t>Pearson BTEC Level 5 Higher National Diploma in Engineering (Electrical and Electronic Engineering)</w:t>
            </w:r>
          </w:p>
          <w:p w14:paraId="4BC287D6"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tc>
      </w:tr>
      <w:tr w:rsidR="00414D2E" w14:paraId="16F1AFDF"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4A0671" w14:textId="77777777" w:rsidR="00414D2E" w:rsidRDefault="00414D2E">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4E60E0C"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Programme title</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59E15" w14:textId="77777777" w:rsidR="00414D2E" w:rsidRDefault="00EC6D47">
            <w:pPr>
              <w:pStyle w:val="Standard"/>
              <w:tabs>
                <w:tab w:val="left" w:pos="720"/>
                <w:tab w:val="left" w:pos="1080"/>
              </w:tabs>
              <w:spacing w:after="0" w:line="240" w:lineRule="auto"/>
              <w:rPr>
                <w:rFonts w:ascii="Arial" w:hAnsi="Arial"/>
                <w:sz w:val="24"/>
                <w:szCs w:val="24"/>
              </w:rPr>
            </w:pPr>
            <w:r>
              <w:rPr>
                <w:rFonts w:ascii="Arial" w:hAnsi="Arial"/>
                <w:sz w:val="24"/>
                <w:szCs w:val="24"/>
              </w:rPr>
              <w:t>Higher National Diploma in Engineering (Electrical and Electronic Engineering)</w:t>
            </w:r>
          </w:p>
          <w:p w14:paraId="3A7E3630"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tc>
      </w:tr>
      <w:tr w:rsidR="00F300DA" w14:paraId="0BCECF81"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F4CF15" w14:textId="77777777" w:rsidR="00F300DA" w:rsidRDefault="00F300DA">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AB946FF" w14:textId="77777777" w:rsidR="00F300DA" w:rsidRDefault="00F300DA">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Details of Accreditation</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0E593D5" w14:textId="77777777" w:rsidR="00F300DA" w:rsidRDefault="00F300DA" w:rsidP="00A52E24">
            <w:pPr>
              <w:pStyle w:val="Standard"/>
              <w:tabs>
                <w:tab w:val="left" w:pos="720"/>
                <w:tab w:val="left" w:pos="1080"/>
              </w:tabs>
              <w:spacing w:after="0" w:line="240" w:lineRule="auto"/>
              <w:rPr>
                <w:rFonts w:ascii="Arial" w:eastAsia="Times New Roman" w:hAnsi="Arial" w:cs="Calibri"/>
                <w:sz w:val="24"/>
                <w:szCs w:val="24"/>
              </w:rPr>
            </w:pPr>
            <w:r>
              <w:rPr>
                <w:rFonts w:ascii="Arial" w:eastAsia="Times New Roman" w:hAnsi="Arial" w:cs="Calibri"/>
                <w:sz w:val="24"/>
                <w:szCs w:val="24"/>
              </w:rPr>
              <w:t>Pearson/BTEC</w:t>
            </w:r>
          </w:p>
          <w:p w14:paraId="52651B22" w14:textId="77777777" w:rsidR="00F300DA" w:rsidRDefault="00F300DA" w:rsidP="00A52E24">
            <w:pPr>
              <w:pStyle w:val="Standard"/>
              <w:tabs>
                <w:tab w:val="left" w:pos="720"/>
                <w:tab w:val="left" w:pos="1080"/>
              </w:tabs>
              <w:spacing w:after="0" w:line="240" w:lineRule="auto"/>
              <w:rPr>
                <w:rFonts w:ascii="Arial" w:eastAsia="Times New Roman" w:hAnsi="Arial" w:cs="Calibri"/>
                <w:sz w:val="24"/>
                <w:szCs w:val="24"/>
              </w:rPr>
            </w:pPr>
            <w:r>
              <w:rPr>
                <w:rFonts w:ascii="Arial" w:eastAsia="Times New Roman" w:hAnsi="Arial" w:cs="Calibri"/>
                <w:sz w:val="24"/>
                <w:szCs w:val="24"/>
              </w:rPr>
              <w:t>Regulated Qualifications Framework (RQF) - September 2017</w:t>
            </w:r>
          </w:p>
        </w:tc>
      </w:tr>
      <w:tr w:rsidR="00414D2E" w14:paraId="3C7B6E2E"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FB4DC6" w14:textId="77777777" w:rsidR="00414D2E" w:rsidRDefault="00414D2E">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EE36A77" w14:textId="77777777" w:rsidR="00414D2E" w:rsidRDefault="00EC6D47">
            <w:pPr>
              <w:pStyle w:val="Standard"/>
              <w:tabs>
                <w:tab w:val="left" w:pos="720"/>
                <w:tab w:val="left" w:pos="1080"/>
              </w:tabs>
              <w:spacing w:after="0" w:line="240" w:lineRule="auto"/>
            </w:pPr>
            <w:r>
              <w:rPr>
                <w:rFonts w:ascii="Arial" w:eastAsia="Times New Roman" w:hAnsi="Arial" w:cs="Arial"/>
                <w:b/>
                <w:sz w:val="24"/>
                <w:szCs w:val="24"/>
              </w:rPr>
              <w:t xml:space="preserve">FHEQ Level </w:t>
            </w:r>
            <w:r>
              <w:rPr>
                <w:rFonts w:ascii="Arial" w:eastAsia="Times New Roman" w:hAnsi="Arial" w:cs="Arial"/>
                <w:i/>
                <w:sz w:val="24"/>
                <w:szCs w:val="24"/>
              </w:rPr>
              <w:t>(does not apply to HNC)</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578204A" w14:textId="77777777" w:rsidR="00414D2E" w:rsidRDefault="000D571A">
            <w:pPr>
              <w:pStyle w:val="Standard"/>
              <w:tabs>
                <w:tab w:val="left" w:pos="720"/>
                <w:tab w:val="left" w:pos="1080"/>
              </w:tabs>
              <w:spacing w:after="0" w:line="240" w:lineRule="auto"/>
              <w:rPr>
                <w:rFonts w:ascii="Arial" w:eastAsia="Times New Roman" w:hAnsi="Arial" w:cs="Calibri"/>
                <w:sz w:val="24"/>
                <w:szCs w:val="24"/>
              </w:rPr>
            </w:pPr>
            <w:r>
              <w:rPr>
                <w:rFonts w:ascii="Arial" w:eastAsia="Times New Roman" w:hAnsi="Arial" w:cs="Calibri"/>
                <w:sz w:val="24"/>
                <w:szCs w:val="24"/>
              </w:rPr>
              <w:t>Level 5</w:t>
            </w:r>
          </w:p>
        </w:tc>
      </w:tr>
      <w:tr w:rsidR="00414D2E" w14:paraId="146C0FA1"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3EB67F" w14:textId="77777777" w:rsidR="00414D2E" w:rsidRDefault="00414D2E">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EEC1389"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UCAS Code</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1B629BE" w14:textId="77777777" w:rsidR="00414D2E" w:rsidRPr="00F300DA" w:rsidRDefault="00EC6D47">
            <w:pPr>
              <w:pStyle w:val="Standard"/>
              <w:tabs>
                <w:tab w:val="left" w:pos="720"/>
                <w:tab w:val="left" w:pos="1080"/>
              </w:tabs>
              <w:spacing w:after="0" w:line="240" w:lineRule="auto"/>
            </w:pPr>
            <w:r w:rsidRPr="00F300DA">
              <w:rPr>
                <w:rFonts w:ascii="Arial" w:eastAsia="Times New Roman" w:hAnsi="Arial" w:cs="Calibri"/>
                <w:bCs/>
                <w:color w:val="333333"/>
                <w:sz w:val="24"/>
                <w:szCs w:val="24"/>
              </w:rPr>
              <w:t>H620</w:t>
            </w:r>
          </w:p>
        </w:tc>
      </w:tr>
      <w:tr w:rsidR="009C0DD2" w14:paraId="4EF88A1B"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A05068" w14:textId="77777777" w:rsidR="009C0DD2" w:rsidRDefault="009C0DD2" w:rsidP="009C0DD2">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139731B" w14:textId="77777777" w:rsidR="009C0DD2" w:rsidRDefault="009C0DD2" w:rsidP="009C0DD2">
            <w:pPr>
              <w:pStyle w:val="Standard"/>
              <w:tabs>
                <w:tab w:val="left" w:pos="720"/>
                <w:tab w:val="left" w:pos="1080"/>
              </w:tabs>
              <w:spacing w:after="0" w:line="240" w:lineRule="auto"/>
            </w:pPr>
            <w:r>
              <w:rPr>
                <w:rFonts w:ascii="Arial" w:eastAsia="Times New Roman" w:hAnsi="Arial" w:cs="Arial"/>
                <w:b/>
                <w:sz w:val="24"/>
                <w:szCs w:val="24"/>
              </w:rPr>
              <w:t xml:space="preserve">Mode of Attendance and normal duration of the award </w:t>
            </w:r>
            <w:r>
              <w:rPr>
                <w:rFonts w:ascii="Arial" w:eastAsia="Times New Roman" w:hAnsi="Arial" w:cs="Arial"/>
                <w:i/>
                <w:sz w:val="24"/>
                <w:szCs w:val="24"/>
              </w:rPr>
              <w:t>[full-time or part-time] 1 year/2 years</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13C418C" w14:textId="08304883" w:rsidR="008D15D3" w:rsidRDefault="008D15D3" w:rsidP="009C0DD2">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HND</w:t>
            </w:r>
            <w:r w:rsidR="009859F9">
              <w:rPr>
                <w:rFonts w:ascii="Arial" w:eastAsia="Times New Roman" w:hAnsi="Arial" w:cs="Arial"/>
                <w:sz w:val="24"/>
                <w:szCs w:val="24"/>
              </w:rPr>
              <w:t xml:space="preserve"> full-time</w:t>
            </w:r>
            <w:r>
              <w:rPr>
                <w:rFonts w:ascii="Arial" w:eastAsia="Times New Roman" w:hAnsi="Arial" w:cs="Arial"/>
                <w:sz w:val="24"/>
                <w:szCs w:val="24"/>
              </w:rPr>
              <w:t xml:space="preserve"> - 2 Years</w:t>
            </w:r>
          </w:p>
          <w:p w14:paraId="4401BE08" w14:textId="293E11F3" w:rsidR="009C0DD2" w:rsidRDefault="000F515C" w:rsidP="009C0DD2">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 xml:space="preserve">HND </w:t>
            </w:r>
            <w:r w:rsidR="00E84583">
              <w:rPr>
                <w:rFonts w:ascii="Arial" w:eastAsia="Times New Roman" w:hAnsi="Arial" w:cs="Arial"/>
                <w:sz w:val="24"/>
                <w:szCs w:val="24"/>
              </w:rPr>
              <w:t>Top-Up f</w:t>
            </w:r>
            <w:r w:rsidR="009C0DD2">
              <w:rPr>
                <w:rFonts w:ascii="Arial" w:eastAsia="Times New Roman" w:hAnsi="Arial" w:cs="Arial"/>
                <w:sz w:val="24"/>
                <w:szCs w:val="24"/>
              </w:rPr>
              <w:t>ull-time</w:t>
            </w:r>
            <w:r w:rsidR="000339E0">
              <w:rPr>
                <w:rFonts w:ascii="Arial" w:eastAsia="Times New Roman" w:hAnsi="Arial" w:cs="Arial"/>
                <w:sz w:val="24"/>
                <w:szCs w:val="24"/>
              </w:rPr>
              <w:t xml:space="preserve"> -</w:t>
            </w:r>
            <w:r w:rsidR="009C0DD2">
              <w:rPr>
                <w:rFonts w:ascii="Arial" w:eastAsia="Times New Roman" w:hAnsi="Arial" w:cs="Arial"/>
                <w:sz w:val="24"/>
                <w:szCs w:val="24"/>
              </w:rPr>
              <w:t xml:space="preserve"> 1 Year</w:t>
            </w:r>
          </w:p>
          <w:p w14:paraId="11E4100D" w14:textId="6B16B979" w:rsidR="009C0DD2" w:rsidRDefault="000F515C" w:rsidP="009C0DD2">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 xml:space="preserve">HND </w:t>
            </w:r>
            <w:r w:rsidR="00E84583">
              <w:rPr>
                <w:rFonts w:ascii="Arial" w:eastAsia="Times New Roman" w:hAnsi="Arial" w:cs="Arial"/>
                <w:sz w:val="24"/>
                <w:szCs w:val="24"/>
              </w:rPr>
              <w:t>Top-Up p</w:t>
            </w:r>
            <w:r w:rsidR="009C0DD2">
              <w:rPr>
                <w:rFonts w:ascii="Arial" w:eastAsia="Times New Roman" w:hAnsi="Arial" w:cs="Arial"/>
                <w:sz w:val="24"/>
                <w:szCs w:val="24"/>
              </w:rPr>
              <w:t>art-time</w:t>
            </w:r>
            <w:r w:rsidR="000339E0">
              <w:rPr>
                <w:rFonts w:ascii="Arial" w:eastAsia="Times New Roman" w:hAnsi="Arial" w:cs="Arial"/>
                <w:sz w:val="24"/>
                <w:szCs w:val="24"/>
              </w:rPr>
              <w:t xml:space="preserve"> -</w:t>
            </w:r>
            <w:r w:rsidR="009C0DD2">
              <w:rPr>
                <w:rFonts w:ascii="Arial" w:eastAsia="Times New Roman" w:hAnsi="Arial" w:cs="Arial"/>
                <w:sz w:val="24"/>
                <w:szCs w:val="24"/>
              </w:rPr>
              <w:t xml:space="preserve"> </w:t>
            </w:r>
            <w:r w:rsidR="00276563">
              <w:rPr>
                <w:rFonts w:ascii="Arial" w:eastAsia="Times New Roman" w:hAnsi="Arial" w:cs="Arial"/>
                <w:sz w:val="24"/>
                <w:szCs w:val="24"/>
              </w:rPr>
              <w:t>1</w:t>
            </w:r>
            <w:r w:rsidR="00276563" w:rsidRPr="00F1131E">
              <w:rPr>
                <w:rFonts w:ascii="Arial" w:eastAsia="Times New Roman" w:hAnsi="Arial" w:cs="Arial"/>
                <w:sz w:val="24"/>
                <w:szCs w:val="24"/>
              </w:rPr>
              <w:t>½</w:t>
            </w:r>
            <w:r w:rsidR="00276563">
              <w:rPr>
                <w:rFonts w:ascii="Arial" w:eastAsia="Times New Roman" w:hAnsi="Arial" w:cs="Arial"/>
                <w:sz w:val="24"/>
                <w:szCs w:val="24"/>
              </w:rPr>
              <w:t xml:space="preserve"> Years</w:t>
            </w:r>
          </w:p>
          <w:p w14:paraId="75487FB6" w14:textId="77777777" w:rsidR="009C0DD2" w:rsidRPr="004D526A" w:rsidRDefault="009C0DD2" w:rsidP="009C0DD2">
            <w:pPr>
              <w:pStyle w:val="Standard"/>
              <w:tabs>
                <w:tab w:val="left" w:pos="720"/>
                <w:tab w:val="left" w:pos="1080"/>
              </w:tabs>
              <w:spacing w:after="0" w:line="240" w:lineRule="auto"/>
              <w:rPr>
                <w:rFonts w:ascii="Arial" w:eastAsia="Times New Roman" w:hAnsi="Arial" w:cs="Arial"/>
                <w:sz w:val="12"/>
                <w:szCs w:val="12"/>
              </w:rPr>
            </w:pPr>
          </w:p>
          <w:p w14:paraId="795863C6" w14:textId="77777777" w:rsidR="009C0DD2" w:rsidRDefault="009C0DD2" w:rsidP="009C0DD2">
            <w:pPr>
              <w:pStyle w:val="Standard"/>
              <w:tabs>
                <w:tab w:val="left" w:pos="720"/>
                <w:tab w:val="left" w:pos="1080"/>
              </w:tabs>
              <w:spacing w:after="0" w:line="240" w:lineRule="auto"/>
              <w:rPr>
                <w:rFonts w:ascii="Arial" w:eastAsia="Times New Roman" w:hAnsi="Arial" w:cs="Arial"/>
                <w:sz w:val="24"/>
                <w:szCs w:val="24"/>
              </w:rPr>
            </w:pPr>
          </w:p>
        </w:tc>
      </w:tr>
      <w:tr w:rsidR="009C0DD2" w14:paraId="1E4E3109" w14:textId="77777777">
        <w:trPr>
          <w:trHeight w:val="720"/>
          <w:jc w:val="center"/>
        </w:trPr>
        <w:tc>
          <w:tcPr>
            <w:tcW w:w="6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D70C4B" w14:textId="77777777" w:rsidR="009C0DD2" w:rsidRDefault="009C0DD2" w:rsidP="009C0DD2">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08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FF74F5" w14:textId="77777777" w:rsidR="009C0DD2" w:rsidRDefault="009C0DD2" w:rsidP="009C0DD2">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Relevant QAA Subject Benchmark Statements</w:t>
            </w:r>
          </w:p>
        </w:tc>
        <w:tc>
          <w:tcPr>
            <w:tcW w:w="73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E36C16E" w14:textId="77777777" w:rsidR="009C0DD2" w:rsidRDefault="009C0DD2" w:rsidP="009C0DD2">
            <w:pPr>
              <w:pStyle w:val="Standard"/>
              <w:tabs>
                <w:tab w:val="left" w:pos="720"/>
                <w:tab w:val="left" w:pos="1080"/>
              </w:tabs>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Subject benchmark statements (although not specifically applicable to Higher Nationals provision) provide a means for the academic community to describe the nature and characteristics of programmes in a specific subject or subject area. They also represent general expectations about standards for the award of qualifications at a given level in terms of the attributes and capabilities that those possessing qualifications should have demonstrated.</w:t>
            </w:r>
          </w:p>
          <w:p w14:paraId="25A77E6A" w14:textId="77777777" w:rsidR="009C0DD2" w:rsidRDefault="009C0DD2" w:rsidP="009C0DD2">
            <w:pPr>
              <w:pStyle w:val="Standard"/>
              <w:tabs>
                <w:tab w:val="left" w:pos="720"/>
                <w:tab w:val="left" w:pos="1080"/>
              </w:tabs>
              <w:spacing w:after="0" w:line="240" w:lineRule="auto"/>
              <w:rPr>
                <w:rFonts w:ascii="Arial" w:hAnsi="Arial"/>
                <w:color w:val="000000"/>
                <w:sz w:val="24"/>
                <w:szCs w:val="24"/>
              </w:rPr>
            </w:pPr>
          </w:p>
          <w:p w14:paraId="25A9801A" w14:textId="77777777" w:rsidR="009C0DD2" w:rsidRDefault="009C0DD2" w:rsidP="009C0DD2">
            <w:pPr>
              <w:pStyle w:val="Standard"/>
              <w:tabs>
                <w:tab w:val="left" w:pos="720"/>
                <w:tab w:val="left" w:pos="1080"/>
              </w:tabs>
              <w:spacing w:after="0" w:line="240" w:lineRule="auto"/>
              <w:rPr>
                <w:rFonts w:ascii="Arial" w:eastAsia="Times New Roman" w:hAnsi="Arial" w:cs="Calibri"/>
                <w:color w:val="000000"/>
                <w:sz w:val="24"/>
                <w:szCs w:val="24"/>
              </w:rPr>
            </w:pPr>
            <w:r>
              <w:rPr>
                <w:rFonts w:ascii="Arial" w:eastAsia="Times New Roman" w:hAnsi="Arial" w:cs="Calibri"/>
                <w:color w:val="000000"/>
                <w:sz w:val="24"/>
                <w:szCs w:val="24"/>
              </w:rPr>
              <w:t>The programme learning outcomes mentioned below (section 14) have been informed by the QAA subject benchmark statement for Engineering.</w:t>
            </w:r>
          </w:p>
          <w:p w14:paraId="72A425E2" w14:textId="77777777" w:rsidR="009C0DD2" w:rsidRDefault="009C0DD2" w:rsidP="009C0DD2">
            <w:pPr>
              <w:pStyle w:val="Standard"/>
              <w:tabs>
                <w:tab w:val="left" w:pos="720"/>
                <w:tab w:val="left" w:pos="1080"/>
              </w:tabs>
              <w:spacing w:after="0" w:line="240" w:lineRule="auto"/>
              <w:rPr>
                <w:rFonts w:ascii="Arial" w:eastAsia="Times New Roman" w:hAnsi="Arial" w:cs="Arial"/>
                <w:i/>
                <w:sz w:val="24"/>
                <w:szCs w:val="24"/>
              </w:rPr>
            </w:pPr>
          </w:p>
        </w:tc>
      </w:tr>
    </w:tbl>
    <w:p w14:paraId="38BBE955" w14:textId="77777777" w:rsidR="002D3F2F" w:rsidRDefault="002D3F2F">
      <w:pPr>
        <w:rPr>
          <w:vanish/>
          <w:szCs w:val="22"/>
          <w:lang w:eastAsia="en-US"/>
        </w:rPr>
        <w:sectPr w:rsidR="002D3F2F" w:rsidSect="009C0DD2">
          <w:headerReference w:type="default" r:id="rId10"/>
          <w:footerReference w:type="default" r:id="rId11"/>
          <w:pgSz w:w="11906" w:h="16838"/>
          <w:pgMar w:top="763" w:right="720" w:bottom="763" w:left="720" w:header="170" w:footer="706" w:gutter="0"/>
          <w:cols w:space="720"/>
          <w:docGrid w:linePitch="299"/>
        </w:sectPr>
      </w:pPr>
    </w:p>
    <w:tbl>
      <w:tblPr>
        <w:tblW w:w="10689" w:type="dxa"/>
        <w:tblInd w:w="-108" w:type="dxa"/>
        <w:tblLayout w:type="fixed"/>
        <w:tblCellMar>
          <w:left w:w="10" w:type="dxa"/>
          <w:right w:w="10" w:type="dxa"/>
        </w:tblCellMar>
        <w:tblLook w:val="0000" w:firstRow="0" w:lastRow="0" w:firstColumn="0" w:lastColumn="0" w:noHBand="0" w:noVBand="0"/>
      </w:tblPr>
      <w:tblGrid>
        <w:gridCol w:w="637"/>
        <w:gridCol w:w="1005"/>
        <w:gridCol w:w="2256"/>
        <w:gridCol w:w="6791"/>
      </w:tblGrid>
      <w:tr w:rsidR="00414D2E" w14:paraId="5F5C1916" w14:textId="77777777">
        <w:trPr>
          <w:trHeight w:val="720"/>
        </w:trPr>
        <w:tc>
          <w:tcPr>
            <w:tcW w:w="6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F32B29" w14:textId="77777777" w:rsidR="00414D2E" w:rsidRDefault="00414D2E">
            <w:pPr>
              <w:pStyle w:val="Standard"/>
              <w:numPr>
                <w:ilvl w:val="0"/>
                <w:numId w:val="2"/>
              </w:numPr>
              <w:tabs>
                <w:tab w:val="left" w:pos="720"/>
                <w:tab w:val="left" w:pos="1080"/>
              </w:tabs>
              <w:spacing w:after="0" w:line="240" w:lineRule="auto"/>
              <w:rPr>
                <w:rFonts w:ascii="Arial" w:eastAsia="Times New Roman" w:hAnsi="Arial" w:cs="Arial"/>
                <w:sz w:val="24"/>
                <w:szCs w:val="24"/>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ACB9018"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Criteria for Admission to the Programme</w:t>
            </w:r>
          </w:p>
          <w:p w14:paraId="4E63DE81"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685BE961"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tc>
        <w:tc>
          <w:tcPr>
            <w:tcW w:w="67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AF145C" w14:textId="07062593" w:rsidR="00870FA8" w:rsidRDefault="00870FA8" w:rsidP="00870FA8">
            <w:pPr>
              <w:pStyle w:val="Textbody"/>
              <w:tabs>
                <w:tab w:val="left" w:pos="-720"/>
                <w:tab w:val="left" w:pos="-360"/>
              </w:tabs>
              <w:spacing w:after="0" w:line="240" w:lineRule="auto"/>
            </w:pPr>
            <w:r>
              <w:rPr>
                <w:rFonts w:ascii="Arial" w:hAnsi="Arial"/>
                <w:color w:val="000000"/>
                <w:sz w:val="24"/>
                <w:szCs w:val="24"/>
              </w:rPr>
              <w:t xml:space="preserve">For the </w:t>
            </w:r>
            <w:r w:rsidR="008D15D3">
              <w:rPr>
                <w:rFonts w:ascii="Arial" w:hAnsi="Arial"/>
                <w:color w:val="000000"/>
                <w:sz w:val="24"/>
                <w:szCs w:val="24"/>
              </w:rPr>
              <w:t>two-year</w:t>
            </w:r>
            <w:r>
              <w:rPr>
                <w:rFonts w:ascii="Arial" w:hAnsi="Arial"/>
                <w:color w:val="000000"/>
                <w:sz w:val="24"/>
                <w:szCs w:val="24"/>
              </w:rPr>
              <w:t xml:space="preserve"> HND programme, a BTEC Level 3 qualification in Engineering </w:t>
            </w:r>
            <w:r>
              <w:rPr>
                <w:rFonts w:ascii="Arial" w:hAnsi="Arial"/>
                <w:i/>
                <w:color w:val="000000"/>
                <w:sz w:val="24"/>
                <w:szCs w:val="24"/>
              </w:rPr>
              <w:t>and</w:t>
            </w:r>
            <w:r>
              <w:rPr>
                <w:rFonts w:ascii="Arial" w:hAnsi="Arial"/>
                <w:color w:val="000000"/>
                <w:sz w:val="24"/>
                <w:szCs w:val="24"/>
              </w:rPr>
              <w:t xml:space="preserve"> a minimum of 80 UCAS points. GCSE Mathematics and English at Grades A - C or equivalent.</w:t>
            </w:r>
          </w:p>
          <w:p w14:paraId="51ACDC05" w14:textId="77777777" w:rsidR="00870FA8" w:rsidRDefault="00870FA8" w:rsidP="00870FA8">
            <w:pPr>
              <w:pStyle w:val="Textbody"/>
              <w:tabs>
                <w:tab w:val="left" w:pos="-720"/>
                <w:tab w:val="left" w:pos="-360"/>
              </w:tabs>
              <w:spacing w:after="0" w:line="240" w:lineRule="auto"/>
              <w:rPr>
                <w:rFonts w:ascii="Arial" w:hAnsi="Arial"/>
                <w:color w:val="000000"/>
                <w:sz w:val="24"/>
                <w:szCs w:val="24"/>
              </w:rPr>
            </w:pPr>
          </w:p>
          <w:p w14:paraId="6F819A68" w14:textId="77777777" w:rsidR="00870FA8" w:rsidRDefault="00870FA8" w:rsidP="00870FA8">
            <w:pPr>
              <w:pStyle w:val="Textbody"/>
              <w:tabs>
                <w:tab w:val="left" w:pos="-720"/>
                <w:tab w:val="left" w:pos="-360"/>
              </w:tabs>
              <w:spacing w:after="0" w:line="240" w:lineRule="auto"/>
              <w:rPr>
                <w:rFonts w:ascii="Arial" w:hAnsi="Arial"/>
                <w:b/>
                <w:color w:val="000000"/>
                <w:sz w:val="24"/>
                <w:szCs w:val="24"/>
              </w:rPr>
            </w:pPr>
            <w:r>
              <w:rPr>
                <w:rFonts w:ascii="Arial" w:hAnsi="Arial"/>
                <w:b/>
                <w:color w:val="000000"/>
                <w:sz w:val="24"/>
                <w:szCs w:val="24"/>
              </w:rPr>
              <w:t>Or</w:t>
            </w:r>
          </w:p>
          <w:p w14:paraId="5A0D8BE1" w14:textId="77777777" w:rsidR="00870FA8" w:rsidRDefault="00870FA8" w:rsidP="00870FA8">
            <w:pPr>
              <w:pStyle w:val="Textbody"/>
              <w:tabs>
                <w:tab w:val="left" w:pos="-720"/>
                <w:tab w:val="left" w:pos="-360"/>
              </w:tabs>
              <w:spacing w:after="0" w:line="240" w:lineRule="auto"/>
            </w:pPr>
          </w:p>
          <w:p w14:paraId="54BC1991" w14:textId="77777777" w:rsidR="00870FA8" w:rsidRDefault="00870FA8" w:rsidP="00870FA8">
            <w:pPr>
              <w:pStyle w:val="Textbody"/>
              <w:spacing w:after="0" w:line="240" w:lineRule="auto"/>
              <w:rPr>
                <w:rFonts w:ascii="Arial" w:hAnsi="Arial"/>
                <w:color w:val="000000"/>
                <w:sz w:val="24"/>
                <w:szCs w:val="24"/>
              </w:rPr>
            </w:pPr>
            <w:r>
              <w:rPr>
                <w:rFonts w:ascii="Arial" w:hAnsi="Arial"/>
                <w:color w:val="000000"/>
                <w:sz w:val="24"/>
                <w:szCs w:val="24"/>
              </w:rPr>
              <w:t>A minimum of 80 UCAS points including at least one Level 3 qualification in Maths, Physics or Computer Science. GCSE Mathematics and English at Grades A - C or equivalent.</w:t>
            </w:r>
          </w:p>
          <w:p w14:paraId="4F2DBFEB" w14:textId="77777777" w:rsidR="00870FA8" w:rsidRDefault="00870FA8" w:rsidP="00870FA8">
            <w:pPr>
              <w:pStyle w:val="Textbody"/>
              <w:spacing w:after="0" w:line="240" w:lineRule="auto"/>
              <w:rPr>
                <w:rFonts w:ascii="Arial" w:hAnsi="Arial"/>
                <w:color w:val="000000"/>
                <w:sz w:val="24"/>
                <w:szCs w:val="24"/>
              </w:rPr>
            </w:pPr>
            <w:r>
              <w:rPr>
                <w:rFonts w:ascii="Arial" w:hAnsi="Arial"/>
                <w:color w:val="000000"/>
                <w:sz w:val="24"/>
                <w:szCs w:val="24"/>
              </w:rPr>
              <w:t xml:space="preserve"> </w:t>
            </w:r>
          </w:p>
          <w:p w14:paraId="292877F5" w14:textId="77777777" w:rsidR="00870FA8" w:rsidRDefault="00870FA8" w:rsidP="00870FA8">
            <w:pPr>
              <w:pStyle w:val="Textbody"/>
              <w:spacing w:after="0" w:line="240" w:lineRule="auto"/>
              <w:rPr>
                <w:rFonts w:ascii="Arial" w:hAnsi="Arial"/>
                <w:b/>
                <w:color w:val="000000"/>
                <w:sz w:val="24"/>
                <w:szCs w:val="24"/>
              </w:rPr>
            </w:pPr>
            <w:r>
              <w:rPr>
                <w:rFonts w:ascii="Arial" w:hAnsi="Arial"/>
                <w:b/>
                <w:color w:val="000000"/>
                <w:sz w:val="24"/>
                <w:szCs w:val="24"/>
              </w:rPr>
              <w:t>Or</w:t>
            </w:r>
          </w:p>
          <w:p w14:paraId="108EC6D3" w14:textId="77777777" w:rsidR="00870FA8" w:rsidRDefault="00870FA8" w:rsidP="00870FA8">
            <w:pPr>
              <w:pStyle w:val="Textbody"/>
              <w:spacing w:after="0" w:line="240" w:lineRule="auto"/>
              <w:rPr>
                <w:rFonts w:ascii="Arial" w:hAnsi="Arial"/>
                <w:b/>
                <w:color w:val="000000"/>
                <w:sz w:val="24"/>
                <w:szCs w:val="24"/>
              </w:rPr>
            </w:pPr>
          </w:p>
          <w:p w14:paraId="506E57CE" w14:textId="77777777" w:rsidR="00870FA8" w:rsidRDefault="00870FA8" w:rsidP="00870FA8">
            <w:pPr>
              <w:pStyle w:val="Textbody"/>
              <w:spacing w:after="0" w:line="240" w:lineRule="auto"/>
              <w:rPr>
                <w:rFonts w:ascii="Arial" w:hAnsi="Arial"/>
                <w:color w:val="000000"/>
                <w:sz w:val="24"/>
                <w:szCs w:val="24"/>
              </w:rPr>
            </w:pPr>
            <w:r>
              <w:rPr>
                <w:rFonts w:ascii="Arial" w:hAnsi="Arial"/>
                <w:color w:val="000000"/>
                <w:sz w:val="24"/>
                <w:szCs w:val="24"/>
              </w:rPr>
              <w:t>An Access to Higher Education Certificate in an Engineering discipline awarded by an approved further education institution.</w:t>
            </w:r>
          </w:p>
          <w:p w14:paraId="342B5ACB" w14:textId="77777777" w:rsidR="00870FA8" w:rsidRDefault="00870FA8" w:rsidP="00870FA8">
            <w:pPr>
              <w:pStyle w:val="Standard"/>
              <w:tabs>
                <w:tab w:val="left" w:pos="720"/>
                <w:tab w:val="left" w:pos="1080"/>
              </w:tabs>
              <w:spacing w:after="0" w:line="240" w:lineRule="auto"/>
              <w:rPr>
                <w:rFonts w:ascii="Arial" w:hAnsi="Arial"/>
                <w:color w:val="333333"/>
                <w:sz w:val="24"/>
                <w:szCs w:val="24"/>
              </w:rPr>
            </w:pPr>
          </w:p>
          <w:p w14:paraId="6CC77B14" w14:textId="08BA1CEC" w:rsidR="00414D2E" w:rsidRDefault="00EC6D47" w:rsidP="00101397">
            <w:pPr>
              <w:pStyle w:val="Textbody"/>
              <w:spacing w:after="0" w:line="240" w:lineRule="auto"/>
            </w:pPr>
            <w:r>
              <w:rPr>
                <w:rFonts w:ascii="Arial" w:hAnsi="Arial"/>
                <w:color w:val="000000"/>
                <w:sz w:val="24"/>
                <w:szCs w:val="24"/>
              </w:rPr>
              <w:t xml:space="preserve">The School of Engineering welcomes applications from candidates who do not meet the above criteria. Where this is the case applicants will be invited for interview at which they will be expected to provide a portfolio (either physical or digital) that demonstrates professional industry experience in an engineering discipline and/or can demonstrate a strong interest in engineering through extra-curricular activity, research or work experience. As part of the interview process candidates </w:t>
            </w:r>
            <w:r>
              <w:rPr>
                <w:rFonts w:ascii="Arial" w:hAnsi="Arial"/>
                <w:sz w:val="24"/>
                <w:szCs w:val="24"/>
              </w:rPr>
              <w:t>will undertake an engineering aptitude test along with a numeracy and literacy skills assessment.</w:t>
            </w:r>
          </w:p>
          <w:p w14:paraId="3BC9937F" w14:textId="77777777" w:rsidR="00414D2E" w:rsidRDefault="00414D2E" w:rsidP="00101397">
            <w:pPr>
              <w:pStyle w:val="Standard"/>
              <w:tabs>
                <w:tab w:val="left" w:pos="720"/>
                <w:tab w:val="left" w:pos="1080"/>
              </w:tabs>
              <w:spacing w:after="0" w:line="240" w:lineRule="auto"/>
              <w:rPr>
                <w:rFonts w:ascii="Arial" w:hAnsi="Arial"/>
                <w:color w:val="333333"/>
                <w:sz w:val="24"/>
                <w:szCs w:val="24"/>
              </w:rPr>
            </w:pPr>
          </w:p>
          <w:p w14:paraId="3F2C31E6" w14:textId="77777777" w:rsidR="00414D2E" w:rsidRDefault="00EC6D47" w:rsidP="00101397">
            <w:pPr>
              <w:pStyle w:val="Standard"/>
              <w:tabs>
                <w:tab w:val="left" w:pos="720"/>
                <w:tab w:val="left" w:pos="1080"/>
              </w:tabs>
              <w:spacing w:after="0" w:line="240" w:lineRule="auto"/>
              <w:rPr>
                <w:rFonts w:ascii="Arial" w:hAnsi="Arial"/>
                <w:sz w:val="24"/>
                <w:szCs w:val="24"/>
              </w:rPr>
            </w:pPr>
            <w:r>
              <w:rPr>
                <w:rFonts w:ascii="Arial" w:hAnsi="Arial"/>
                <w:sz w:val="24"/>
                <w:szCs w:val="24"/>
              </w:rPr>
              <w:t>Claims for Recognition of Prior Learning (RPL) and Recognition of Prior Experiential Learning (RPEL) are welcomed by the Programme team.</w:t>
            </w:r>
          </w:p>
          <w:p w14:paraId="1D831854" w14:textId="77777777" w:rsidR="00414D2E" w:rsidRDefault="00414D2E" w:rsidP="00101397">
            <w:pPr>
              <w:pStyle w:val="Textbody"/>
              <w:spacing w:after="0" w:line="240" w:lineRule="auto"/>
            </w:pPr>
          </w:p>
          <w:p w14:paraId="494904D7" w14:textId="77777777" w:rsidR="00101397" w:rsidRPr="00AA09CF" w:rsidRDefault="00EC6D47" w:rsidP="00101397">
            <w:pPr>
              <w:pStyle w:val="Standard"/>
              <w:tabs>
                <w:tab w:val="left" w:pos="720"/>
                <w:tab w:val="left" w:pos="1080"/>
              </w:tabs>
              <w:spacing w:after="0" w:line="240" w:lineRule="auto"/>
              <w:rPr>
                <w:rFonts w:ascii="Arial" w:hAnsi="Arial"/>
                <w:sz w:val="24"/>
                <w:szCs w:val="24"/>
              </w:rPr>
            </w:pPr>
            <w:r>
              <w:rPr>
                <w:rFonts w:ascii="Arial" w:hAnsi="Arial"/>
                <w:sz w:val="24"/>
                <w:szCs w:val="24"/>
              </w:rPr>
              <w:t>The HND Engineering (Electrical a</w:t>
            </w:r>
            <w:r w:rsidR="00101397">
              <w:rPr>
                <w:rFonts w:ascii="Arial" w:hAnsi="Arial"/>
                <w:sz w:val="24"/>
                <w:szCs w:val="24"/>
              </w:rPr>
              <w:t>nd Electronic Engineering) Top-U</w:t>
            </w:r>
            <w:r>
              <w:rPr>
                <w:rFonts w:ascii="Arial" w:hAnsi="Arial"/>
                <w:sz w:val="24"/>
                <w:szCs w:val="24"/>
              </w:rPr>
              <w:t xml:space="preserve">p is primarily designed for internal students who wish to </w:t>
            </w:r>
            <w:r w:rsidRPr="00AA09CF">
              <w:rPr>
                <w:rFonts w:ascii="Arial" w:hAnsi="Arial"/>
                <w:sz w:val="24"/>
                <w:szCs w:val="24"/>
              </w:rPr>
              <w:t>progress fr</w:t>
            </w:r>
            <w:r w:rsidR="00101397" w:rsidRPr="00AA09CF">
              <w:rPr>
                <w:rFonts w:ascii="Arial" w:hAnsi="Arial"/>
                <w:sz w:val="24"/>
                <w:szCs w:val="24"/>
              </w:rPr>
              <w:t xml:space="preserve">om the HNC part-time programme.  </w:t>
            </w:r>
            <w:r w:rsidRPr="00AA09CF">
              <w:rPr>
                <w:rFonts w:ascii="Arial" w:hAnsi="Arial"/>
                <w:sz w:val="24"/>
                <w:szCs w:val="24"/>
              </w:rPr>
              <w:t>Progression is dependent upon the su</w:t>
            </w:r>
            <w:r w:rsidR="00101397" w:rsidRPr="00AA09CF">
              <w:rPr>
                <w:rFonts w:ascii="Arial" w:hAnsi="Arial"/>
                <w:sz w:val="24"/>
                <w:szCs w:val="24"/>
              </w:rPr>
              <w:t>ccessful completion of the HNC.</w:t>
            </w:r>
          </w:p>
          <w:p w14:paraId="114B7A09" w14:textId="77777777" w:rsidR="00101397" w:rsidRPr="00AA09CF" w:rsidRDefault="00101397" w:rsidP="00101397">
            <w:pPr>
              <w:pStyle w:val="Standard"/>
              <w:tabs>
                <w:tab w:val="left" w:pos="720"/>
                <w:tab w:val="left" w:pos="1080"/>
              </w:tabs>
              <w:spacing w:after="0" w:line="240" w:lineRule="auto"/>
              <w:rPr>
                <w:rFonts w:ascii="Arial" w:hAnsi="Arial"/>
                <w:sz w:val="24"/>
                <w:szCs w:val="24"/>
              </w:rPr>
            </w:pPr>
          </w:p>
          <w:p w14:paraId="17955B27" w14:textId="77777777" w:rsidR="00414D2E" w:rsidRDefault="00EC6D47" w:rsidP="00101397">
            <w:pPr>
              <w:pStyle w:val="Standard"/>
              <w:tabs>
                <w:tab w:val="left" w:pos="720"/>
                <w:tab w:val="left" w:pos="1080"/>
              </w:tabs>
              <w:spacing w:after="0" w:line="240" w:lineRule="auto"/>
              <w:rPr>
                <w:rFonts w:ascii="Arial" w:hAnsi="Arial"/>
                <w:sz w:val="24"/>
                <w:szCs w:val="24"/>
              </w:rPr>
            </w:pPr>
            <w:r w:rsidRPr="00AA09CF">
              <w:rPr>
                <w:rFonts w:ascii="Arial" w:hAnsi="Arial"/>
                <w:sz w:val="24"/>
                <w:szCs w:val="24"/>
              </w:rPr>
              <w:t>The School of Engineering welcomes applicatio</w:t>
            </w:r>
            <w:r w:rsidR="00101397" w:rsidRPr="00AA09CF">
              <w:rPr>
                <w:rFonts w:ascii="Arial" w:hAnsi="Arial"/>
                <w:sz w:val="24"/>
                <w:szCs w:val="24"/>
              </w:rPr>
              <w:t xml:space="preserve">ns for direct entry to the </w:t>
            </w:r>
            <w:r w:rsidR="00101397">
              <w:rPr>
                <w:rFonts w:ascii="Arial" w:hAnsi="Arial"/>
                <w:sz w:val="24"/>
                <w:szCs w:val="24"/>
              </w:rPr>
              <w:t xml:space="preserve">HND Top-Up from outside of the College.  </w:t>
            </w:r>
            <w:r>
              <w:rPr>
                <w:rFonts w:ascii="Arial" w:hAnsi="Arial"/>
                <w:sz w:val="24"/>
                <w:szCs w:val="24"/>
              </w:rPr>
              <w:t>Candidates must hold an HNC Engineering (Electrical and Electronics Engineering) RQF and will be invited to interview.</w:t>
            </w:r>
          </w:p>
          <w:p w14:paraId="57D69D44" w14:textId="77777777" w:rsidR="00414D2E" w:rsidRDefault="00414D2E" w:rsidP="00101397">
            <w:pPr>
              <w:pStyle w:val="Standard"/>
              <w:spacing w:after="0" w:line="240" w:lineRule="auto"/>
              <w:rPr>
                <w:rFonts w:ascii="Arial" w:eastAsia="Times New Roman" w:hAnsi="Arial" w:cs="Arial"/>
                <w:sz w:val="24"/>
                <w:szCs w:val="24"/>
              </w:rPr>
            </w:pPr>
          </w:p>
        </w:tc>
      </w:tr>
      <w:tr w:rsidR="00414D2E" w14:paraId="02351698" w14:textId="77777777">
        <w:trPr>
          <w:trHeight w:val="1750"/>
        </w:trPr>
        <w:tc>
          <w:tcPr>
            <w:tcW w:w="6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3B4398"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13</w:t>
            </w:r>
          </w:p>
        </w:tc>
        <w:tc>
          <w:tcPr>
            <w:tcW w:w="100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9D1FEB" w14:textId="77777777" w:rsidR="00414D2E" w:rsidRDefault="00EC6D47" w:rsidP="0010139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Educational Aims of the Programme</w:t>
            </w:r>
          </w:p>
          <w:p w14:paraId="35DE6465" w14:textId="77777777" w:rsidR="00414D2E" w:rsidRDefault="00414D2E" w:rsidP="00101397">
            <w:pPr>
              <w:pStyle w:val="Standard"/>
              <w:tabs>
                <w:tab w:val="left" w:pos="720"/>
                <w:tab w:val="left" w:pos="1080"/>
              </w:tabs>
              <w:spacing w:after="0" w:line="240" w:lineRule="auto"/>
              <w:rPr>
                <w:rFonts w:ascii="Arial" w:eastAsia="Times New Roman" w:hAnsi="Arial" w:cs="Arial"/>
                <w:sz w:val="24"/>
                <w:szCs w:val="24"/>
              </w:rPr>
            </w:pPr>
          </w:p>
          <w:p w14:paraId="2FBE515B" w14:textId="77777777" w:rsidR="00414D2E" w:rsidRDefault="00EC6D47" w:rsidP="00101397">
            <w:pPr>
              <w:pStyle w:val="Standard"/>
              <w:spacing w:after="0" w:line="240" w:lineRule="auto"/>
            </w:pPr>
            <w:r>
              <w:rPr>
                <w:rFonts w:ascii="Arial" w:hAnsi="Arial" w:cs="Arial"/>
                <w:color w:val="000000"/>
                <w:sz w:val="24"/>
                <w:szCs w:val="24"/>
                <w:lang w:eastAsia="en-GB"/>
              </w:rPr>
              <w:t xml:space="preserve">The </w:t>
            </w:r>
            <w:r w:rsidR="00101397">
              <w:rPr>
                <w:rFonts w:ascii="Arial" w:hAnsi="Arial"/>
                <w:sz w:val="24"/>
                <w:szCs w:val="24"/>
              </w:rPr>
              <w:t>Pearson BTEC Level 5 Higher National Diploma in</w:t>
            </w:r>
            <w:r>
              <w:rPr>
                <w:rFonts w:ascii="Arial" w:hAnsi="Arial" w:cs="Arial"/>
                <w:color w:val="000000"/>
                <w:sz w:val="24"/>
                <w:szCs w:val="24"/>
                <w:lang w:eastAsia="en-GB"/>
              </w:rPr>
              <w:t xml:space="preserve"> Engineering (Electrical and Electronic Engineering) is designed to provide st</w:t>
            </w:r>
            <w:r w:rsidR="00101397">
              <w:rPr>
                <w:rFonts w:ascii="Arial" w:hAnsi="Arial" w:cs="Arial"/>
                <w:color w:val="000000"/>
                <w:sz w:val="24"/>
                <w:szCs w:val="24"/>
                <w:lang w:eastAsia="en-GB"/>
              </w:rPr>
              <w:t>udents with wider knowledge of E</w:t>
            </w:r>
            <w:r>
              <w:rPr>
                <w:rFonts w:ascii="Arial" w:hAnsi="Arial" w:cs="Arial"/>
                <w:color w:val="000000"/>
                <w:sz w:val="24"/>
                <w:szCs w:val="24"/>
                <w:lang w:eastAsia="en-GB"/>
              </w:rPr>
              <w:t xml:space="preserve">ngineering principles and methodology, supported by the development of analytical and research skills to prepare students for employment </w:t>
            </w:r>
            <w:r w:rsidR="00101397">
              <w:rPr>
                <w:rFonts w:ascii="Arial" w:hAnsi="Arial" w:cs="Arial"/>
                <w:color w:val="000000"/>
                <w:sz w:val="24"/>
                <w:szCs w:val="24"/>
                <w:lang w:eastAsia="en-GB"/>
              </w:rPr>
              <w:t xml:space="preserve">opportunities in the </w:t>
            </w:r>
            <w:r w:rsidR="00101397" w:rsidRPr="004D526A">
              <w:rPr>
                <w:rFonts w:ascii="Arial" w:hAnsi="Arial" w:cs="Arial"/>
                <w:color w:val="000000"/>
                <w:sz w:val="24"/>
                <w:szCs w:val="24"/>
                <w:lang w:eastAsia="en-GB"/>
              </w:rPr>
              <w:t>Elect</w:t>
            </w:r>
            <w:r w:rsidR="00101397">
              <w:rPr>
                <w:rFonts w:ascii="Arial" w:hAnsi="Arial" w:cs="Arial"/>
                <w:color w:val="000000"/>
                <w:sz w:val="24"/>
                <w:szCs w:val="24"/>
                <w:lang w:eastAsia="en-GB"/>
              </w:rPr>
              <w:t xml:space="preserve">rical and Electronic Engineering field or study at HND/degree level.  </w:t>
            </w:r>
            <w:r>
              <w:rPr>
                <w:rFonts w:ascii="Arial" w:hAnsi="Arial" w:cs="Arial"/>
                <w:color w:val="000000"/>
                <w:sz w:val="24"/>
                <w:szCs w:val="24"/>
                <w:lang w:eastAsia="en-GB"/>
              </w:rPr>
              <w:t>Emphasis will be placed upon reflection, analysis, environmental impact, critical thinking and personal development.</w:t>
            </w:r>
          </w:p>
          <w:p w14:paraId="3343E1A8" w14:textId="77777777" w:rsidR="00414D2E" w:rsidRDefault="00414D2E" w:rsidP="00101397">
            <w:pPr>
              <w:pStyle w:val="Standard"/>
              <w:tabs>
                <w:tab w:val="left" w:pos="720"/>
                <w:tab w:val="left" w:pos="1080"/>
              </w:tabs>
              <w:spacing w:after="0" w:line="240" w:lineRule="auto"/>
              <w:rPr>
                <w:rFonts w:ascii="Arial" w:hAnsi="Arial" w:cs="Arial"/>
                <w:color w:val="000000"/>
                <w:sz w:val="24"/>
                <w:szCs w:val="24"/>
                <w:lang w:eastAsia="en-GB"/>
              </w:rPr>
            </w:pPr>
          </w:p>
          <w:p w14:paraId="4E34BC74" w14:textId="77777777" w:rsidR="00414D2E" w:rsidRDefault="00EC6D47" w:rsidP="00101397">
            <w:pPr>
              <w:pStyle w:val="Standard"/>
              <w:tabs>
                <w:tab w:val="left" w:pos="720"/>
                <w:tab w:val="left" w:pos="1080"/>
              </w:tabs>
              <w:spacing w:after="0" w:line="240" w:lineRule="auto"/>
            </w:pPr>
            <w:r>
              <w:rPr>
                <w:rFonts w:ascii="Arial" w:eastAsia="Times New Roman" w:hAnsi="Arial" w:cs="Arial"/>
                <w:color w:val="000000"/>
                <w:sz w:val="24"/>
                <w:szCs w:val="24"/>
                <w:lang w:eastAsia="en-GB"/>
              </w:rPr>
              <w:lastRenderedPageBreak/>
              <w:t xml:space="preserve">The programme is designed to support career progression for anyone working in </w:t>
            </w:r>
            <w:r w:rsidR="00101397">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ngineering or for individuals who would like to develop their knowledge and skills and pursue a career in this field.</w:t>
            </w:r>
          </w:p>
          <w:p w14:paraId="582E807C" w14:textId="77777777" w:rsidR="00414D2E" w:rsidRDefault="00414D2E" w:rsidP="00101397">
            <w:pPr>
              <w:pStyle w:val="Standard"/>
              <w:tabs>
                <w:tab w:val="left" w:pos="720"/>
                <w:tab w:val="left" w:pos="1080"/>
              </w:tabs>
              <w:spacing w:after="0" w:line="240" w:lineRule="auto"/>
              <w:rPr>
                <w:rFonts w:ascii="Arial" w:eastAsia="Times New Roman" w:hAnsi="Arial" w:cs="Arial"/>
                <w:color w:val="000000"/>
                <w:sz w:val="24"/>
                <w:szCs w:val="24"/>
                <w:lang w:eastAsia="en-GB"/>
              </w:rPr>
            </w:pPr>
          </w:p>
          <w:p w14:paraId="0B0406CB" w14:textId="77777777" w:rsidR="00101397" w:rsidRDefault="00101397" w:rsidP="00101397">
            <w:pPr>
              <w:pStyle w:val="Standard"/>
              <w:tabs>
                <w:tab w:val="left" w:pos="720"/>
                <w:tab w:val="left" w:pos="1080"/>
              </w:tabs>
              <w:spacing w:after="0" w:line="240" w:lineRule="auto"/>
              <w:rPr>
                <w:rFonts w:ascii="Arial" w:hAnsi="Arial"/>
                <w:sz w:val="24"/>
                <w:szCs w:val="24"/>
              </w:rPr>
            </w:pPr>
            <w:r>
              <w:rPr>
                <w:rFonts w:ascii="Arial" w:hAnsi="Arial"/>
                <w:sz w:val="24"/>
                <w:szCs w:val="24"/>
              </w:rPr>
              <w:t>The objectives of the Pearson BTEC Higher Nationals in Engineering are as follows:</w:t>
            </w:r>
          </w:p>
          <w:p w14:paraId="348542E2" w14:textId="77777777" w:rsidR="00101397" w:rsidRDefault="00101397" w:rsidP="00101397">
            <w:pPr>
              <w:pStyle w:val="Standard"/>
              <w:tabs>
                <w:tab w:val="left" w:pos="720"/>
                <w:tab w:val="left" w:pos="1080"/>
              </w:tabs>
              <w:spacing w:after="0" w:line="240" w:lineRule="auto"/>
              <w:rPr>
                <w:rFonts w:ascii="Arial" w:hAnsi="Arial"/>
                <w:sz w:val="24"/>
                <w:szCs w:val="24"/>
              </w:rPr>
            </w:pPr>
          </w:p>
          <w:p w14:paraId="7763A739"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provide students with the core knowledge, skills and techniques that all engineers require, irrespective of future specialism, to achieve high performance in the Engineering profession.</w:t>
            </w:r>
          </w:p>
          <w:p w14:paraId="45132EB7"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build a body of specialist knowledge, skills and techniques in order to be successful in a range of careers in engineering at the Associate Engineer or Operational Engineer level.</w:t>
            </w:r>
          </w:p>
          <w:p w14:paraId="0BF409CF"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develop the skills necessary to fault find and problem solve in a timely, professional manner, reflecting on their work and contributing to the development of the process and environment they operate within.</w:t>
            </w:r>
          </w:p>
          <w:p w14:paraId="2C29102F"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understand the responsibilities of the engineer within society, and work with integrity, regard for cost, sustainability and the rapid rate of change experienced in world class Engineering.</w:t>
            </w:r>
          </w:p>
          <w:p w14:paraId="3E5EA794"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provide opportunities for students to enter, or progress in, employment within the Engineering sector, or progress to higher education qualifications such as degrees and honours degree in Engineering or a closely related area, by balancing employability skills with academic attainment.</w:t>
            </w:r>
          </w:p>
          <w:p w14:paraId="504F9DB3"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provide opportunities for students to make progress towards achieving internationally recognised registration with a Professional Body regulated by the Engineering Council.</w:t>
            </w:r>
          </w:p>
          <w:p w14:paraId="1961BA11" w14:textId="77777777" w:rsidR="00101397" w:rsidRDefault="00101397" w:rsidP="00101397">
            <w:pPr>
              <w:pStyle w:val="Standard"/>
              <w:numPr>
                <w:ilvl w:val="0"/>
                <w:numId w:val="26"/>
              </w:numPr>
              <w:tabs>
                <w:tab w:val="left" w:pos="-2160"/>
                <w:tab w:val="left" w:pos="-1800"/>
              </w:tabs>
              <w:spacing w:after="0" w:line="240" w:lineRule="auto"/>
              <w:ind w:left="464" w:hanging="284"/>
              <w:rPr>
                <w:rFonts w:ascii="Arial" w:hAnsi="Arial"/>
                <w:sz w:val="24"/>
                <w:szCs w:val="24"/>
              </w:rPr>
            </w:pPr>
            <w:r>
              <w:rPr>
                <w:rFonts w:ascii="Arial" w:hAnsi="Arial"/>
                <w:sz w:val="24"/>
                <w:szCs w:val="24"/>
              </w:rPr>
              <w:t>To allow flexibility of study and to meet local or specialist needs.</w:t>
            </w:r>
          </w:p>
          <w:p w14:paraId="552BD014" w14:textId="77777777" w:rsidR="00101397" w:rsidRDefault="00101397" w:rsidP="00101397">
            <w:pPr>
              <w:pStyle w:val="Standard"/>
              <w:tabs>
                <w:tab w:val="left" w:pos="720"/>
                <w:tab w:val="left" w:pos="1080"/>
              </w:tabs>
              <w:spacing w:after="0" w:line="240" w:lineRule="auto"/>
              <w:rPr>
                <w:rFonts w:ascii="Arial" w:eastAsia="Times New Roman" w:hAnsi="Arial" w:cs="Arial"/>
                <w:sz w:val="24"/>
                <w:szCs w:val="24"/>
              </w:rPr>
            </w:pPr>
          </w:p>
          <w:p w14:paraId="0CDA680F" w14:textId="77777777" w:rsidR="00101397" w:rsidRDefault="00101397" w:rsidP="00101397">
            <w:pPr>
              <w:pStyle w:val="Standard"/>
              <w:tabs>
                <w:tab w:val="left" w:pos="720"/>
                <w:tab w:val="left" w:pos="1080"/>
              </w:tabs>
              <w:spacing w:after="0" w:line="240" w:lineRule="auto"/>
              <w:rPr>
                <w:rFonts w:ascii="Arial" w:hAnsi="Arial"/>
                <w:sz w:val="24"/>
                <w:szCs w:val="24"/>
              </w:rPr>
            </w:pPr>
            <w:r>
              <w:rPr>
                <w:rFonts w:ascii="Arial" w:hAnsi="Arial"/>
                <w:sz w:val="24"/>
                <w:szCs w:val="24"/>
              </w:rPr>
              <w:t>We will meet these objectives by:</w:t>
            </w:r>
          </w:p>
          <w:p w14:paraId="31D6C44B" w14:textId="77777777" w:rsidR="00101397" w:rsidRDefault="00101397" w:rsidP="00101397">
            <w:pPr>
              <w:pStyle w:val="Standard"/>
              <w:tabs>
                <w:tab w:val="left" w:pos="720"/>
                <w:tab w:val="left" w:pos="1080"/>
              </w:tabs>
              <w:spacing w:after="0" w:line="240" w:lineRule="auto"/>
              <w:rPr>
                <w:rFonts w:ascii="Arial" w:eastAsia="Times New Roman" w:hAnsi="Arial" w:cs="Arial"/>
                <w:sz w:val="24"/>
                <w:szCs w:val="24"/>
              </w:rPr>
            </w:pPr>
          </w:p>
          <w:p w14:paraId="1735379B" w14:textId="77777777" w:rsidR="00101397" w:rsidRDefault="00101397" w:rsidP="00101397">
            <w:pPr>
              <w:pStyle w:val="Standard"/>
              <w:numPr>
                <w:ilvl w:val="0"/>
                <w:numId w:val="27"/>
              </w:numPr>
              <w:tabs>
                <w:tab w:val="left" w:pos="-5040"/>
                <w:tab w:val="left" w:pos="-4680"/>
              </w:tabs>
              <w:spacing w:after="0" w:line="240" w:lineRule="auto"/>
              <w:ind w:left="464" w:hanging="284"/>
              <w:rPr>
                <w:rFonts w:ascii="Arial" w:hAnsi="Arial"/>
                <w:sz w:val="24"/>
                <w:szCs w:val="24"/>
              </w:rPr>
            </w:pPr>
            <w:r>
              <w:rPr>
                <w:rFonts w:ascii="Arial" w:hAnsi="Arial"/>
                <w:sz w:val="24"/>
                <w:szCs w:val="24"/>
              </w:rPr>
              <w:t>Providing a thorough grounding in Engineering principles at Level 4 that leads the student to a range of specialist progression pathways at Level 5, relating to individual professions within the Engineering sector.</w:t>
            </w:r>
          </w:p>
          <w:p w14:paraId="6FA2FE49" w14:textId="77777777" w:rsidR="00101397" w:rsidRDefault="00101397" w:rsidP="00101397">
            <w:pPr>
              <w:pStyle w:val="Standard"/>
              <w:numPr>
                <w:ilvl w:val="0"/>
                <w:numId w:val="27"/>
              </w:numPr>
              <w:tabs>
                <w:tab w:val="left" w:pos="-5040"/>
                <w:tab w:val="left" w:pos="-4680"/>
              </w:tabs>
              <w:spacing w:after="0" w:line="240" w:lineRule="auto"/>
              <w:ind w:left="464" w:hanging="284"/>
              <w:rPr>
                <w:rFonts w:ascii="Arial" w:hAnsi="Arial"/>
                <w:sz w:val="24"/>
                <w:szCs w:val="24"/>
              </w:rPr>
            </w:pPr>
            <w:r>
              <w:rPr>
                <w:rFonts w:ascii="Arial" w:hAnsi="Arial"/>
                <w:sz w:val="24"/>
                <w:szCs w:val="24"/>
              </w:rPr>
              <w:t>Equipping individuals with the essential qualities of an engineer, including integrity, regard for cost and sustainability, as they apply to a range of roles and responsibilities within the sector.</w:t>
            </w:r>
          </w:p>
          <w:p w14:paraId="5B023393" w14:textId="77777777" w:rsidR="00101397" w:rsidRDefault="00101397" w:rsidP="00101397">
            <w:pPr>
              <w:pStyle w:val="Standard"/>
              <w:numPr>
                <w:ilvl w:val="0"/>
                <w:numId w:val="27"/>
              </w:numPr>
              <w:tabs>
                <w:tab w:val="left" w:pos="-5040"/>
                <w:tab w:val="left" w:pos="-4680"/>
              </w:tabs>
              <w:spacing w:after="0" w:line="240" w:lineRule="auto"/>
              <w:ind w:left="464" w:hanging="284"/>
              <w:rPr>
                <w:rFonts w:ascii="Arial" w:hAnsi="Arial"/>
                <w:sz w:val="24"/>
                <w:szCs w:val="24"/>
              </w:rPr>
            </w:pPr>
            <w:r>
              <w:rPr>
                <w:rFonts w:ascii="Arial" w:hAnsi="Arial"/>
                <w:sz w:val="24"/>
                <w:szCs w:val="24"/>
              </w:rPr>
              <w:t>Enabling progression to a university degree by supporting the development of academic study skills and the selection of appropriate units for study at Level 4 or 5.</w:t>
            </w:r>
          </w:p>
          <w:p w14:paraId="7E816E62" w14:textId="77777777" w:rsidR="00101397" w:rsidRDefault="00101397" w:rsidP="00101397">
            <w:pPr>
              <w:pStyle w:val="Standard"/>
              <w:numPr>
                <w:ilvl w:val="0"/>
                <w:numId w:val="27"/>
              </w:numPr>
              <w:tabs>
                <w:tab w:val="left" w:pos="-5040"/>
                <w:tab w:val="left" w:pos="-4680"/>
              </w:tabs>
              <w:spacing w:after="0" w:line="240" w:lineRule="auto"/>
              <w:ind w:left="464" w:hanging="284"/>
              <w:rPr>
                <w:rFonts w:ascii="Arial" w:eastAsia="Times New Roman" w:hAnsi="Arial" w:cs="Arial"/>
                <w:sz w:val="24"/>
                <w:szCs w:val="24"/>
              </w:rPr>
            </w:pPr>
            <w:r>
              <w:rPr>
                <w:rFonts w:ascii="Arial" w:eastAsia="Times New Roman" w:hAnsi="Arial" w:cs="Arial"/>
                <w:sz w:val="24"/>
                <w:szCs w:val="24"/>
              </w:rPr>
              <w:t>Enabling progression to further professional qualifications in specific Engineering disciplines by mapping the units studied to the requirements of the Professional Bodies applicable to that discipline.</w:t>
            </w:r>
          </w:p>
          <w:p w14:paraId="46749997" w14:textId="77777777" w:rsidR="00414D2E" w:rsidRDefault="00414D2E" w:rsidP="00101397">
            <w:pPr>
              <w:pStyle w:val="Standard"/>
              <w:spacing w:after="0" w:line="240" w:lineRule="auto"/>
              <w:rPr>
                <w:rFonts w:ascii="Arial" w:eastAsia="Times New Roman" w:hAnsi="Arial" w:cs="Arial"/>
                <w:sz w:val="24"/>
                <w:szCs w:val="24"/>
              </w:rPr>
            </w:pPr>
          </w:p>
        </w:tc>
      </w:tr>
      <w:tr w:rsidR="006B7A51" w14:paraId="2FA6D038" w14:textId="77777777" w:rsidTr="00141E80">
        <w:trPr>
          <w:trHeight w:val="1749"/>
        </w:trPr>
        <w:tc>
          <w:tcPr>
            <w:tcW w:w="637"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tcPr>
          <w:p w14:paraId="49B06570" w14:textId="77777777" w:rsidR="006B7A51" w:rsidRDefault="006B7A51">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14</w:t>
            </w:r>
          </w:p>
        </w:tc>
        <w:tc>
          <w:tcPr>
            <w:tcW w:w="1005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305794" w14:textId="77777777" w:rsidR="006B7A51" w:rsidRDefault="006B7A51">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Programme Learning Outcomes</w:t>
            </w:r>
          </w:p>
          <w:p w14:paraId="4C9C83BC" w14:textId="77777777" w:rsidR="006B7A51" w:rsidRDefault="006B7A51">
            <w:pPr>
              <w:pStyle w:val="Standard"/>
              <w:spacing w:after="0" w:line="240" w:lineRule="auto"/>
              <w:rPr>
                <w:rFonts w:ascii="Arial" w:hAnsi="Arial" w:cs="Arial"/>
                <w:sz w:val="24"/>
                <w:szCs w:val="24"/>
              </w:rPr>
            </w:pPr>
          </w:p>
          <w:p w14:paraId="2B769B44" w14:textId="77777777" w:rsidR="006B7A51" w:rsidRDefault="006B7A51">
            <w:pPr>
              <w:pStyle w:val="Standard"/>
              <w:spacing w:after="0" w:line="240" w:lineRule="auto"/>
            </w:pPr>
            <w:r>
              <w:rPr>
                <w:rFonts w:ascii="Arial" w:eastAsia="Times New Roman" w:hAnsi="Arial" w:cs="Arial"/>
                <w:sz w:val="24"/>
                <w:szCs w:val="24"/>
              </w:rPr>
              <w:t>By the end of the programme, students will have developed a deeper understanding of the principles, technical skills and professional skills that are required by the mechanical engineering industry.  Students will have the potential to enter the world of work or have the potential to pursue entry onto a degree programme.</w:t>
            </w:r>
          </w:p>
          <w:p w14:paraId="002F3CA0" w14:textId="77777777" w:rsidR="006B7A51" w:rsidRPr="008C3B20" w:rsidRDefault="006B7A51">
            <w:pPr>
              <w:pStyle w:val="Standard"/>
              <w:spacing w:after="0" w:line="240" w:lineRule="auto"/>
              <w:rPr>
                <w:rFonts w:ascii="Arial" w:eastAsia="SymbolMT" w:hAnsi="Arial" w:cs="Arial"/>
                <w:sz w:val="20"/>
                <w:szCs w:val="20"/>
              </w:rPr>
            </w:pPr>
          </w:p>
          <w:p w14:paraId="2F356D17" w14:textId="77777777" w:rsidR="006B7A51" w:rsidRDefault="006B7A51">
            <w:pPr>
              <w:pStyle w:val="Standard"/>
              <w:tabs>
                <w:tab w:val="left" w:pos="720"/>
                <w:tab w:val="left" w:pos="1080"/>
              </w:tabs>
              <w:spacing w:after="0" w:line="240" w:lineRule="auto"/>
            </w:pPr>
            <w:r w:rsidRPr="007E7E4F">
              <w:rPr>
                <w:rFonts w:ascii="Arial" w:eastAsia="Times New Roman" w:hAnsi="Arial" w:cs="Arial"/>
                <w:sz w:val="24"/>
                <w:szCs w:val="24"/>
              </w:rPr>
              <w:t>The qualification will be awarded to students who have demonstrated:</w:t>
            </w:r>
          </w:p>
        </w:tc>
      </w:tr>
      <w:tr w:rsidR="006B7A51" w14:paraId="010C77D0" w14:textId="77777777" w:rsidTr="00141E80">
        <w:trPr>
          <w:trHeight w:val="288"/>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2D8EB36F" w14:textId="77777777" w:rsidR="006B7A51" w:rsidRDefault="006B7A51">
            <w:pPr>
              <w:suppressAutoHyphens w:val="0"/>
            </w:pPr>
          </w:p>
        </w:tc>
        <w:tc>
          <w:tcPr>
            <w:tcW w:w="10052" w:type="dxa"/>
            <w:gridSpan w:val="3"/>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vAlign w:val="center"/>
          </w:tcPr>
          <w:p w14:paraId="568680EA" w14:textId="77777777" w:rsidR="006B7A51" w:rsidRDefault="006B7A51">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Knowledge and Understanding</w:t>
            </w:r>
          </w:p>
        </w:tc>
      </w:tr>
      <w:tr w:rsidR="006B7A51" w14:paraId="167E2FE9"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565D2221" w14:textId="77777777" w:rsidR="006B7A51" w:rsidRDefault="006B7A51">
            <w:pPr>
              <w:suppressAutoHyphens w:val="0"/>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F33557"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KU1</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521863" w14:textId="77777777" w:rsidR="006B7A51" w:rsidRDefault="006B7A51" w:rsidP="00A52E24">
            <w:pPr>
              <w:pStyle w:val="Standard"/>
              <w:spacing w:after="0" w:line="240" w:lineRule="auto"/>
              <w:rPr>
                <w:rFonts w:ascii="Arial" w:hAnsi="Arial" w:cs="Arial"/>
                <w:sz w:val="24"/>
                <w:szCs w:val="24"/>
              </w:rPr>
            </w:pPr>
            <w:r>
              <w:rPr>
                <w:rFonts w:ascii="Arial" w:hAnsi="Arial" w:cs="Arial"/>
                <w:sz w:val="24"/>
                <w:szCs w:val="24"/>
              </w:rPr>
              <w:t>Knowledge and understanding of the fundamentals principles and practices of the contemporary global engineering industry.</w:t>
            </w:r>
          </w:p>
        </w:tc>
      </w:tr>
      <w:tr w:rsidR="006B7A51" w14:paraId="39576DAF" w14:textId="77777777">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0200BBFD"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38912E"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KU2</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267B5D" w14:textId="77777777" w:rsidR="006B7A51" w:rsidRDefault="006B7A51" w:rsidP="00A52E24">
            <w:pPr>
              <w:pStyle w:val="Standard"/>
              <w:spacing w:after="0" w:line="240" w:lineRule="auto"/>
              <w:rPr>
                <w:rFonts w:ascii="Arial" w:hAnsi="Arial" w:cs="Arial"/>
                <w:sz w:val="24"/>
                <w:szCs w:val="24"/>
              </w:rPr>
            </w:pPr>
            <w:r>
              <w:rPr>
                <w:rFonts w:ascii="Arial" w:hAnsi="Arial" w:cs="Arial"/>
                <w:sz w:val="24"/>
                <w:szCs w:val="24"/>
              </w:rPr>
              <w:t>Knowledge and understanding of the external engineering environment and its impact upon local, national and global levels of strategy, behaviour, management and sustainability.</w:t>
            </w:r>
          </w:p>
        </w:tc>
      </w:tr>
      <w:tr w:rsidR="00A52E24" w14:paraId="3E8B5573"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6A17B6AD"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C7FE77"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KU3</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79D91F"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Understanding and insight into different engineering practices, their diverse nature, purposes, structures and operations and their influence upon the external environment.</w:t>
            </w:r>
          </w:p>
        </w:tc>
      </w:tr>
      <w:tr w:rsidR="006B7A51" w14:paraId="3679A992" w14:textId="77777777" w:rsidTr="00141E80">
        <w:trPr>
          <w:trHeight w:val="504"/>
        </w:trPr>
        <w:tc>
          <w:tcPr>
            <w:tcW w:w="637" w:type="dxa"/>
            <w:vMerge w:val="restart"/>
            <w:tcBorders>
              <w:left w:val="single" w:sz="4" w:space="0" w:color="00000A"/>
              <w:right w:val="single" w:sz="4" w:space="0" w:color="00000A"/>
            </w:tcBorders>
            <w:shd w:val="clear" w:color="auto" w:fill="auto"/>
            <w:tcMar>
              <w:top w:w="0" w:type="dxa"/>
              <w:left w:w="113" w:type="dxa"/>
              <w:bottom w:w="0" w:type="dxa"/>
              <w:right w:w="108" w:type="dxa"/>
            </w:tcMar>
          </w:tcPr>
          <w:p w14:paraId="0259F8CB"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AA3952"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KU4</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65D3C3" w14:textId="77777777" w:rsidR="006B7A51" w:rsidRDefault="006B7A51"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 critical understanding of the ethical, environmental, legal, regulatory, professional and operational frameworks within which engineering operates.</w:t>
            </w:r>
          </w:p>
        </w:tc>
      </w:tr>
      <w:tr w:rsidR="006B7A51" w14:paraId="5F1AC729"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746B15AF" w14:textId="77777777" w:rsidR="006B7A51" w:rsidRDefault="006B7A51">
            <w:pPr>
              <w:suppressAutoHyphens w:val="0"/>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2BDE00"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KU5</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F0708D" w14:textId="77777777" w:rsidR="006B7A51" w:rsidRDefault="006B7A51"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 critical understanding of process, practices and techniques for effective management of products, processes, services and people.</w:t>
            </w:r>
          </w:p>
        </w:tc>
      </w:tr>
      <w:tr w:rsidR="006B7A51" w14:paraId="2621828B"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21574624" w14:textId="77777777" w:rsidR="006B7A51" w:rsidRDefault="006B7A51">
            <w:pPr>
              <w:suppressAutoHyphens w:val="0"/>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2A892E"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KU6</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DD62BA" w14:textId="77777777" w:rsidR="006B7A51" w:rsidRDefault="006B7A51"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 critical understanding of the evolving concepts, theories and models within the study of engineering across the range of operational alternatives.</w:t>
            </w:r>
          </w:p>
        </w:tc>
      </w:tr>
      <w:tr w:rsidR="006B7A51" w14:paraId="6CEF9142"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6E99C378" w14:textId="77777777" w:rsidR="006B7A51" w:rsidRDefault="006B7A51">
            <w:pPr>
              <w:suppressAutoHyphens w:val="0"/>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ECBC8B" w14:textId="77777777" w:rsidR="006B7A51" w:rsidRDefault="006B7A51" w:rsidP="00A52E24">
            <w:pPr>
              <w:pStyle w:val="Standard"/>
              <w:tabs>
                <w:tab w:val="left" w:pos="720"/>
                <w:tab w:val="left" w:pos="1080"/>
              </w:tabs>
              <w:spacing w:after="0" w:line="240" w:lineRule="auto"/>
            </w:pPr>
            <w:r>
              <w:rPr>
                <w:rFonts w:ascii="Arial" w:eastAsia="Times New Roman" w:hAnsi="Arial" w:cs="Arial"/>
                <w:b/>
                <w:sz w:val="24"/>
                <w:szCs w:val="24"/>
              </w:rPr>
              <w:t>KU7</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09F457" w14:textId="77777777" w:rsidR="006B7A51" w:rsidRDefault="006B7A51"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An ability to evaluate and analyse a range of concepts and theories, models and techniques to make appropriate engineering operational and management decisions.</w:t>
            </w:r>
          </w:p>
        </w:tc>
      </w:tr>
      <w:tr w:rsidR="006B7A51" w14:paraId="19356000" w14:textId="77777777">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3DA48125"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FB3F22" w14:textId="77777777" w:rsidR="006B7A51" w:rsidRDefault="006B7A51" w:rsidP="00A52E24">
            <w:pPr>
              <w:pStyle w:val="Standard"/>
              <w:tabs>
                <w:tab w:val="left" w:pos="720"/>
                <w:tab w:val="left" w:pos="1080"/>
              </w:tabs>
              <w:spacing w:after="0" w:line="240" w:lineRule="auto"/>
            </w:pPr>
            <w:r>
              <w:rPr>
                <w:rFonts w:ascii="Arial" w:eastAsia="Times New Roman" w:hAnsi="Arial" w:cs="Arial"/>
                <w:b/>
                <w:sz w:val="24"/>
                <w:szCs w:val="24"/>
              </w:rPr>
              <w:t>KU8</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B1DB43" w14:textId="77777777" w:rsidR="006B7A51" w:rsidRDefault="006B7A51"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An appreciation of the concepts and principles of CPD, staff development, team dynamics, leadership and reflective practice as strategies for personal and people development.</w:t>
            </w:r>
          </w:p>
        </w:tc>
      </w:tr>
      <w:tr w:rsidR="00A52E24" w14:paraId="62377ACA"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2FB09E7E"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BD0DFC"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KU9</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CE3797"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Knowledge and understanding of how the key areas of engineering and the environment it operates within influence the development of people and businesses.</w:t>
            </w:r>
          </w:p>
        </w:tc>
      </w:tr>
      <w:tr w:rsidR="00A52E24" w14:paraId="21EF381D"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056E768C"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C68032" w14:textId="77777777" w:rsidR="00A52E24" w:rsidRDefault="00A52E24" w:rsidP="00A52E24">
            <w:pPr>
              <w:pStyle w:val="Standard"/>
              <w:tabs>
                <w:tab w:val="left" w:pos="720"/>
                <w:tab w:val="left" w:pos="1080"/>
              </w:tabs>
              <w:spacing w:after="0" w:line="240" w:lineRule="auto"/>
            </w:pPr>
            <w:r>
              <w:rPr>
                <w:rFonts w:ascii="Arial" w:eastAsia="Times New Roman" w:hAnsi="Arial" w:cs="Arial"/>
                <w:b/>
                <w:sz w:val="24"/>
                <w:szCs w:val="24"/>
              </w:rPr>
              <w:t>KU10</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30E5DD"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An understanding of the skills, techniques and methodologies used to resolve problems in the workplace.</w:t>
            </w:r>
          </w:p>
        </w:tc>
      </w:tr>
      <w:tr w:rsidR="00A52E24" w14:paraId="6FCBE37E"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7148686E"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DB3123" w14:textId="77777777" w:rsidR="00A52E24" w:rsidRDefault="00A52E24" w:rsidP="00A52E24">
            <w:pPr>
              <w:pStyle w:val="Standard"/>
              <w:tabs>
                <w:tab w:val="left" w:pos="720"/>
                <w:tab w:val="left" w:pos="1080"/>
              </w:tabs>
              <w:spacing w:after="0" w:line="240" w:lineRule="auto"/>
            </w:pPr>
            <w:r>
              <w:rPr>
                <w:rFonts w:ascii="Arial" w:eastAsia="Times New Roman" w:hAnsi="Arial" w:cs="Arial"/>
                <w:b/>
                <w:sz w:val="24"/>
                <w:szCs w:val="24"/>
              </w:rPr>
              <w:t>KU11</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F8B1DA"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Knowledge and understanding of the human-machine interaction to inform the development of good design and fitness for purpose.</w:t>
            </w:r>
          </w:p>
        </w:tc>
      </w:tr>
      <w:tr w:rsidR="00A52E24" w14:paraId="5E544DEC"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7BE34DCF"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2CF3E9" w14:textId="77777777" w:rsidR="00A52E24" w:rsidRDefault="00A52E24" w:rsidP="00A52E24">
            <w:pPr>
              <w:pStyle w:val="Standard"/>
              <w:tabs>
                <w:tab w:val="left" w:pos="720"/>
                <w:tab w:val="left" w:pos="1080"/>
              </w:tabs>
              <w:spacing w:after="0" w:line="240" w:lineRule="auto"/>
              <w:rPr>
                <w:rFonts w:ascii="Arial" w:hAnsi="Arial"/>
                <w:b/>
                <w:sz w:val="24"/>
                <w:szCs w:val="24"/>
              </w:rPr>
            </w:pPr>
            <w:r>
              <w:rPr>
                <w:rFonts w:ascii="Arial" w:hAnsi="Arial"/>
                <w:b/>
                <w:sz w:val="24"/>
                <w:szCs w:val="24"/>
              </w:rPr>
              <w:t>KU12</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961946"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An ability to deploy processes, principles, theories, skills and techniques to analyse, specify, build and evaluate processes and outcomes.</w:t>
            </w:r>
          </w:p>
        </w:tc>
      </w:tr>
      <w:tr w:rsidR="00414D2E" w14:paraId="638D5ED3" w14:textId="77777777">
        <w:trPr>
          <w:trHeight w:val="288"/>
        </w:trPr>
        <w:tc>
          <w:tcPr>
            <w:tcW w:w="637" w:type="dxa"/>
            <w:tcBorders>
              <w:left w:val="single" w:sz="4" w:space="0" w:color="00000A"/>
              <w:right w:val="single" w:sz="4" w:space="0" w:color="00000A"/>
            </w:tcBorders>
            <w:shd w:val="clear" w:color="auto" w:fill="auto"/>
            <w:tcMar>
              <w:top w:w="0" w:type="dxa"/>
              <w:left w:w="113" w:type="dxa"/>
              <w:bottom w:w="0" w:type="dxa"/>
              <w:right w:w="108" w:type="dxa"/>
            </w:tcMar>
            <w:vAlign w:val="center"/>
          </w:tcPr>
          <w:p w14:paraId="633E391D"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tc>
        <w:tc>
          <w:tcPr>
            <w:tcW w:w="10052" w:type="dxa"/>
            <w:gridSpan w:val="3"/>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vAlign w:val="center"/>
          </w:tcPr>
          <w:p w14:paraId="6521FA54"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Cognitive Skills</w:t>
            </w:r>
          </w:p>
        </w:tc>
      </w:tr>
      <w:tr w:rsidR="00A52E24" w14:paraId="13F9C836"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417BBD96"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2503C6"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CS1</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0EAC6D"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Apply knowledge and understanding of the concepts, principles and models within the contemporary global engineering industry.</w:t>
            </w:r>
          </w:p>
        </w:tc>
      </w:tr>
      <w:tr w:rsidR="00A52E24" w14:paraId="7DB872C5"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708287C5"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9F8DB2"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CS2</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0BCCB1"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Develop different strategies and methods to show how resources (human, financial, environmental and information) are integrated and effectively managed to successfully meet objectives.</w:t>
            </w:r>
          </w:p>
        </w:tc>
      </w:tr>
      <w:tr w:rsidR="00A52E24" w14:paraId="262164DB"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2817F2EB"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CEE4E2"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CS3</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2F7ED4"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Critically evaluate current principles and operational practices used within the engineering industry as applied to problem-solving.</w:t>
            </w:r>
          </w:p>
        </w:tc>
      </w:tr>
      <w:tr w:rsidR="00A52E24" w14:paraId="420BC27E"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6A26F73A"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E76BD2"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CS4</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204BE1"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Apply project management skills and techniques for reporting, planning, control and problem-solving.</w:t>
            </w:r>
          </w:p>
        </w:tc>
      </w:tr>
      <w:tr w:rsidR="00A52E24" w14:paraId="2B46FA28" w14:textId="77777777" w:rsidTr="008C3B20">
        <w:trPr>
          <w:trHeight w:val="3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583127C0"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CED1A1" w14:textId="77777777" w:rsidR="00A52E24" w:rsidRDefault="00A52E24" w:rsidP="00A52E24">
            <w:pPr>
              <w:pStyle w:val="Standard"/>
              <w:tabs>
                <w:tab w:val="left" w:pos="720"/>
                <w:tab w:val="left" w:pos="1080"/>
              </w:tabs>
              <w:spacing w:after="0" w:line="240" w:lineRule="auto"/>
            </w:pPr>
            <w:r>
              <w:rPr>
                <w:rFonts w:ascii="Arial" w:eastAsia="Times New Roman" w:hAnsi="Arial" w:cs="Arial"/>
                <w:b/>
                <w:sz w:val="24"/>
                <w:szCs w:val="24"/>
              </w:rPr>
              <w:t>CS5</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4D085F"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Recognise and critically evaluate the professional, economic, social, environmental and ethical issues that influence the sustainable exploitation of people, resources and businesses.</w:t>
            </w:r>
          </w:p>
        </w:tc>
      </w:tr>
      <w:tr w:rsidR="00A52E24" w14:paraId="7AB10F82"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5CF79B9C"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1989AA" w14:textId="77777777" w:rsidR="00A52E24" w:rsidRDefault="00A52E24" w:rsidP="00A52E24">
            <w:pPr>
              <w:pStyle w:val="Standard"/>
              <w:tabs>
                <w:tab w:val="left" w:pos="720"/>
                <w:tab w:val="left" w:pos="1080"/>
              </w:tabs>
              <w:spacing w:after="0" w:line="240" w:lineRule="auto"/>
              <w:rPr>
                <w:rFonts w:ascii="Arial" w:hAnsi="Arial"/>
                <w:b/>
                <w:sz w:val="24"/>
                <w:szCs w:val="24"/>
              </w:rPr>
            </w:pPr>
            <w:r>
              <w:rPr>
                <w:rFonts w:ascii="Arial" w:hAnsi="Arial"/>
                <w:b/>
                <w:sz w:val="24"/>
                <w:szCs w:val="24"/>
              </w:rPr>
              <w:t>CS6</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C2F801"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Critique a range of engineering information technology systems and operations and their application to maximise and successfully meet strategic objectives.</w:t>
            </w:r>
          </w:p>
        </w:tc>
      </w:tr>
      <w:tr w:rsidR="00A52E24" w14:paraId="67D419FF"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75ACE390"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A2F68A" w14:textId="77777777" w:rsidR="00A52E24" w:rsidRDefault="00A52E24" w:rsidP="00A52E24">
            <w:pPr>
              <w:pStyle w:val="Standard"/>
              <w:tabs>
                <w:tab w:val="left" w:pos="720"/>
                <w:tab w:val="left" w:pos="1080"/>
              </w:tabs>
              <w:spacing w:after="0" w:line="240" w:lineRule="auto"/>
              <w:rPr>
                <w:rFonts w:ascii="Arial" w:hAnsi="Arial"/>
                <w:b/>
                <w:sz w:val="24"/>
                <w:szCs w:val="24"/>
              </w:rPr>
            </w:pPr>
            <w:r>
              <w:rPr>
                <w:rFonts w:ascii="Arial" w:hAnsi="Arial"/>
                <w:b/>
                <w:sz w:val="24"/>
                <w:szCs w:val="24"/>
              </w:rPr>
              <w:t>CS7</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D8BCE8"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Interpret, analyse and evaluate a range of engineering data, sources and information to inform evidence-based decision-making.</w:t>
            </w:r>
          </w:p>
        </w:tc>
      </w:tr>
      <w:tr w:rsidR="00A52E24" w14:paraId="74FB2033"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4EF64672"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F95216" w14:textId="77777777" w:rsidR="00A52E24" w:rsidRDefault="00A52E24" w:rsidP="00A52E24">
            <w:pPr>
              <w:pStyle w:val="Standard"/>
              <w:tabs>
                <w:tab w:val="left" w:pos="720"/>
                <w:tab w:val="left" w:pos="1080"/>
              </w:tabs>
              <w:spacing w:after="0" w:line="240" w:lineRule="auto"/>
              <w:rPr>
                <w:rFonts w:ascii="Arial" w:hAnsi="Arial"/>
                <w:b/>
                <w:sz w:val="24"/>
                <w:szCs w:val="24"/>
              </w:rPr>
            </w:pPr>
            <w:r>
              <w:rPr>
                <w:rFonts w:ascii="Arial" w:hAnsi="Arial"/>
                <w:b/>
                <w:sz w:val="24"/>
                <w:szCs w:val="24"/>
              </w:rPr>
              <w:t>CS8</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CF0B8D"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Synthesise knowledge and critically evaluate strategies and plans to understand the relationship between theory and actual world engineering situations.</w:t>
            </w:r>
          </w:p>
        </w:tc>
      </w:tr>
      <w:tr w:rsidR="00A52E24" w14:paraId="01E98679"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610F27A8"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713DDC" w14:textId="77777777" w:rsidR="00A52E24" w:rsidRDefault="00A52E24" w:rsidP="00A52E24">
            <w:pPr>
              <w:pStyle w:val="Standard"/>
              <w:tabs>
                <w:tab w:val="left" w:pos="720"/>
                <w:tab w:val="left" w:pos="1080"/>
              </w:tabs>
              <w:spacing w:after="0" w:line="240" w:lineRule="auto"/>
              <w:rPr>
                <w:rFonts w:ascii="Arial" w:hAnsi="Arial"/>
                <w:b/>
                <w:sz w:val="24"/>
                <w:szCs w:val="24"/>
              </w:rPr>
            </w:pPr>
            <w:r>
              <w:rPr>
                <w:rFonts w:ascii="Arial" w:hAnsi="Arial"/>
                <w:b/>
                <w:sz w:val="24"/>
                <w:szCs w:val="24"/>
              </w:rPr>
              <w:t>CS9</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5EF4FE"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Evaluate the changing needs of the engineering industry and have the confidence to self-evaluate and undertake additional CPD as necessary.</w:t>
            </w:r>
          </w:p>
        </w:tc>
      </w:tr>
      <w:tr w:rsidR="00414D2E" w14:paraId="0442CC7E" w14:textId="77777777">
        <w:trPr>
          <w:trHeight w:val="288"/>
        </w:trPr>
        <w:tc>
          <w:tcPr>
            <w:tcW w:w="637" w:type="dxa"/>
            <w:tcBorders>
              <w:left w:val="single" w:sz="4" w:space="0" w:color="00000A"/>
              <w:right w:val="single" w:sz="4" w:space="0" w:color="00000A"/>
            </w:tcBorders>
            <w:shd w:val="clear" w:color="auto" w:fill="auto"/>
            <w:tcMar>
              <w:top w:w="0" w:type="dxa"/>
              <w:left w:w="113" w:type="dxa"/>
              <w:bottom w:w="0" w:type="dxa"/>
              <w:right w:w="108" w:type="dxa"/>
            </w:tcMar>
            <w:vAlign w:val="center"/>
          </w:tcPr>
          <w:p w14:paraId="76D88D65"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tc>
        <w:tc>
          <w:tcPr>
            <w:tcW w:w="10052" w:type="dxa"/>
            <w:gridSpan w:val="3"/>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vAlign w:val="center"/>
          </w:tcPr>
          <w:p w14:paraId="6CB559CC"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Applied Skills</w:t>
            </w:r>
          </w:p>
        </w:tc>
      </w:tr>
      <w:tr w:rsidR="00A52E24" w14:paraId="5663791D"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11ABA81C"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D05B4"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AS1</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B08176"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Evidence the ability to show customer relationship management skills and develop appropriate policies and strategies to meet stakeholder expectations.</w:t>
            </w:r>
          </w:p>
        </w:tc>
      </w:tr>
      <w:tr w:rsidR="00A52E24" w14:paraId="5BDBFE0F"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412A2C65"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F5F6E3"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AS2</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0D0DEC"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Apply innovative engineering ideas to design and develop new products or services that respond to the changing nature of the engineering industry and the global market.</w:t>
            </w:r>
          </w:p>
        </w:tc>
      </w:tr>
      <w:tr w:rsidR="00A52E24" w14:paraId="69A64A20"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21AE71CC"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506B9D"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AS3</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3D2AF7"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Integrate theory and practice through the investigation, evaluation and development of practices and products in the workplace.</w:t>
            </w:r>
          </w:p>
        </w:tc>
      </w:tr>
      <w:tr w:rsidR="00A52E24" w14:paraId="5B11FCB0"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2B76AC55"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BDF247"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AS4</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044683"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Develop outcomes for customers using appropriate practices and data to make justified recommendations.</w:t>
            </w:r>
          </w:p>
        </w:tc>
      </w:tr>
      <w:tr w:rsidR="00414D2E" w14:paraId="379C3B4B" w14:textId="77777777">
        <w:trPr>
          <w:trHeight w:val="288"/>
        </w:trPr>
        <w:tc>
          <w:tcPr>
            <w:tcW w:w="637" w:type="dxa"/>
            <w:tcBorders>
              <w:left w:val="single" w:sz="4" w:space="0" w:color="00000A"/>
              <w:right w:val="single" w:sz="4" w:space="0" w:color="00000A"/>
            </w:tcBorders>
            <w:shd w:val="clear" w:color="auto" w:fill="auto"/>
            <w:tcMar>
              <w:top w:w="0" w:type="dxa"/>
              <w:left w:w="113" w:type="dxa"/>
              <w:bottom w:w="0" w:type="dxa"/>
              <w:right w:w="108" w:type="dxa"/>
            </w:tcMar>
            <w:vAlign w:val="center"/>
          </w:tcPr>
          <w:p w14:paraId="5C17C866"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tc>
        <w:tc>
          <w:tcPr>
            <w:tcW w:w="10052" w:type="dxa"/>
            <w:gridSpan w:val="3"/>
            <w:tcBorders>
              <w:top w:val="single" w:sz="4" w:space="0" w:color="00000A"/>
              <w:left w:val="single" w:sz="4" w:space="0" w:color="00000A"/>
              <w:bottom w:val="single" w:sz="4" w:space="0" w:color="00000A"/>
              <w:right w:val="single" w:sz="4" w:space="0" w:color="00000A"/>
            </w:tcBorders>
            <w:shd w:val="clear" w:color="auto" w:fill="D8D8D8"/>
            <w:tcMar>
              <w:top w:w="0" w:type="dxa"/>
              <w:left w:w="113" w:type="dxa"/>
              <w:bottom w:w="0" w:type="dxa"/>
              <w:right w:w="108" w:type="dxa"/>
            </w:tcMar>
            <w:vAlign w:val="center"/>
          </w:tcPr>
          <w:p w14:paraId="176FD071"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Transferable Skills</w:t>
            </w:r>
          </w:p>
        </w:tc>
      </w:tr>
      <w:tr w:rsidR="00A52E24" w14:paraId="23160DD4"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7F9B8795"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D4915"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TS1</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D9581C"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Develop a skill-set to enable the evaluation of appropriate actions taken for problem-solving in specific engineering contexts</w:t>
            </w:r>
          </w:p>
        </w:tc>
      </w:tr>
      <w:tr w:rsidR="00A52E24" w14:paraId="55B19FE4"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201D47F9"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5ED9A6"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TS2</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D08601"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Develop self-reflection, including self-awareness, to become an effective self-managing student, appreciating the value and importance of the self-reflection process.</w:t>
            </w:r>
          </w:p>
        </w:tc>
      </w:tr>
      <w:tr w:rsidR="00A52E24" w14:paraId="61F9C3AC"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1A4FCB44"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35B697"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TS3</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AA6BE3"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Undertake independent learning to expand on own skills and delivered content.</w:t>
            </w:r>
          </w:p>
        </w:tc>
      </w:tr>
      <w:tr w:rsidR="00A52E24" w14:paraId="610DEDFD" w14:textId="77777777">
        <w:trPr>
          <w:trHeight w:val="504"/>
        </w:trPr>
        <w:tc>
          <w:tcPr>
            <w:tcW w:w="637" w:type="dxa"/>
            <w:tcBorders>
              <w:left w:val="single" w:sz="4" w:space="0" w:color="00000A"/>
              <w:right w:val="single" w:sz="4" w:space="0" w:color="00000A"/>
            </w:tcBorders>
            <w:shd w:val="clear" w:color="auto" w:fill="auto"/>
            <w:tcMar>
              <w:top w:w="0" w:type="dxa"/>
              <w:left w:w="113" w:type="dxa"/>
              <w:bottom w:w="0" w:type="dxa"/>
              <w:right w:w="108" w:type="dxa"/>
            </w:tcMar>
          </w:tcPr>
          <w:p w14:paraId="45D49705"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B26620"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TS4</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047BCA"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Competently use digital literacy to access a broad range of research sources, data and information.</w:t>
            </w:r>
          </w:p>
        </w:tc>
      </w:tr>
      <w:tr w:rsidR="006B7A51" w14:paraId="209A2E8F" w14:textId="77777777" w:rsidTr="00141E80">
        <w:trPr>
          <w:trHeight w:val="504"/>
        </w:trPr>
        <w:tc>
          <w:tcPr>
            <w:tcW w:w="637" w:type="dxa"/>
            <w:vMerge w:val="restart"/>
            <w:tcBorders>
              <w:left w:val="single" w:sz="4" w:space="0" w:color="00000A"/>
              <w:right w:val="single" w:sz="4" w:space="0" w:color="00000A"/>
            </w:tcBorders>
            <w:shd w:val="clear" w:color="auto" w:fill="auto"/>
            <w:tcMar>
              <w:top w:w="0" w:type="dxa"/>
              <w:left w:w="113" w:type="dxa"/>
              <w:bottom w:w="0" w:type="dxa"/>
              <w:right w:w="108" w:type="dxa"/>
            </w:tcMar>
          </w:tcPr>
          <w:p w14:paraId="6E6FFB8B"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11EE45"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TS5</w:t>
            </w:r>
          </w:p>
        </w:tc>
        <w:tc>
          <w:tcPr>
            <w:tcW w:w="904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EEA0C3"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Communicate confidently and effectively, both orally and in writing both internally and externally with engineering professionals and other stakeholders.</w:t>
            </w:r>
          </w:p>
        </w:tc>
      </w:tr>
      <w:tr w:rsidR="006B7A51" w14:paraId="58CD6B75"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55F8F5FF"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020D81" w14:textId="77777777" w:rsidR="006B7A51" w:rsidRDefault="006B7A51" w:rsidP="00A52E24">
            <w:pPr>
              <w:pStyle w:val="Standard"/>
              <w:tabs>
                <w:tab w:val="left" w:pos="720"/>
                <w:tab w:val="left" w:pos="1080"/>
              </w:tabs>
              <w:spacing w:after="0" w:line="240" w:lineRule="auto"/>
            </w:pPr>
            <w:r>
              <w:rPr>
                <w:rFonts w:ascii="Arial" w:eastAsia="Times New Roman" w:hAnsi="Arial" w:cs="Arial"/>
                <w:b/>
                <w:sz w:val="24"/>
                <w:szCs w:val="24"/>
              </w:rPr>
              <w:t>TS6</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CCEDD9"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Demonstrate strong interpersonal skills, including effective listening and oral communication skills, as well as the associated ability to persuade, present, pitch and negotiate.</w:t>
            </w:r>
          </w:p>
        </w:tc>
      </w:tr>
      <w:tr w:rsidR="006B7A51" w14:paraId="7E5014F8"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5BA0483C"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0012BE" w14:textId="77777777" w:rsidR="006B7A51" w:rsidRDefault="006B7A51" w:rsidP="00A52E24">
            <w:pPr>
              <w:pStyle w:val="Standard"/>
              <w:tabs>
                <w:tab w:val="left" w:pos="720"/>
                <w:tab w:val="left" w:pos="1080"/>
              </w:tabs>
              <w:spacing w:after="0" w:line="240" w:lineRule="auto"/>
            </w:pPr>
            <w:r>
              <w:rPr>
                <w:rFonts w:ascii="Arial" w:eastAsia="Times New Roman" w:hAnsi="Arial" w:cs="Arial"/>
                <w:b/>
                <w:sz w:val="24"/>
                <w:szCs w:val="24"/>
              </w:rPr>
              <w:t>TS7</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DBE0E9"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Identify personal and professional goals for continuing professional development in order to enhance competence to practice within a chosen engineering field.</w:t>
            </w:r>
          </w:p>
        </w:tc>
      </w:tr>
      <w:tr w:rsidR="006B7A51" w14:paraId="7E284070"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6141757D"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451EF1" w14:textId="77777777" w:rsidR="006B7A51" w:rsidRDefault="006B7A51" w:rsidP="00A52E24">
            <w:pPr>
              <w:pStyle w:val="Standard"/>
              <w:tabs>
                <w:tab w:val="left" w:pos="720"/>
                <w:tab w:val="left" w:pos="1080"/>
              </w:tabs>
              <w:spacing w:after="0" w:line="240" w:lineRule="auto"/>
            </w:pPr>
            <w:r>
              <w:rPr>
                <w:rFonts w:ascii="Arial" w:eastAsia="Times New Roman" w:hAnsi="Arial" w:cs="Arial"/>
                <w:b/>
                <w:sz w:val="24"/>
                <w:szCs w:val="24"/>
              </w:rPr>
              <w:t>TS8</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C0D7EC"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Take advantage of available pathways for continuing professional development through Higher Education and Professional Body Qualifications.</w:t>
            </w:r>
          </w:p>
        </w:tc>
      </w:tr>
      <w:tr w:rsidR="006B7A51" w14:paraId="784D4669"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693D025E"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90CFC0" w14:textId="77777777" w:rsidR="006B7A51" w:rsidRDefault="006B7A51" w:rsidP="00A52E24">
            <w:pPr>
              <w:pStyle w:val="Standard"/>
              <w:tabs>
                <w:tab w:val="left" w:pos="720"/>
                <w:tab w:val="left" w:pos="1080"/>
              </w:tabs>
              <w:spacing w:after="0" w:line="240" w:lineRule="auto"/>
            </w:pPr>
            <w:r>
              <w:rPr>
                <w:rFonts w:ascii="Arial" w:eastAsia="Times New Roman" w:hAnsi="Arial" w:cs="Arial"/>
                <w:b/>
                <w:sz w:val="24"/>
                <w:szCs w:val="24"/>
              </w:rPr>
              <w:t>TS9</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7EDF67"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Develop a range of skills to ensure effective team working, project and time management, independent initiatives, organisational competence and problem-solving strategies.</w:t>
            </w:r>
          </w:p>
        </w:tc>
      </w:tr>
      <w:tr w:rsidR="006B7A51" w14:paraId="455C7FF3"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47931BBC"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9BE338"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TS10</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68D914"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Reflect adaptability and flexibility in approach to engineering; showing resilience under pressure and meeting challenging targets within given deadlines.</w:t>
            </w:r>
          </w:p>
        </w:tc>
      </w:tr>
      <w:tr w:rsidR="006B7A51" w14:paraId="70E51470" w14:textId="77777777" w:rsidTr="00141E80">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08A56326"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D9626D"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TS11</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A1BD39"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Use quantitative skills to manipulate data, evaluate and verify existing theory.</w:t>
            </w:r>
          </w:p>
        </w:tc>
      </w:tr>
      <w:tr w:rsidR="006B7A51" w14:paraId="5EA7D209" w14:textId="77777777" w:rsidTr="006B7A51">
        <w:trPr>
          <w:trHeight w:val="504"/>
        </w:trPr>
        <w:tc>
          <w:tcPr>
            <w:tcW w:w="637" w:type="dxa"/>
            <w:vMerge/>
            <w:tcBorders>
              <w:left w:val="single" w:sz="4" w:space="0" w:color="00000A"/>
              <w:right w:val="single" w:sz="4" w:space="0" w:color="00000A"/>
            </w:tcBorders>
            <w:shd w:val="clear" w:color="auto" w:fill="auto"/>
            <w:tcMar>
              <w:top w:w="0" w:type="dxa"/>
              <w:left w:w="113" w:type="dxa"/>
              <w:bottom w:w="0" w:type="dxa"/>
              <w:right w:w="108" w:type="dxa"/>
            </w:tcMar>
          </w:tcPr>
          <w:p w14:paraId="1F4DF9B6" w14:textId="77777777" w:rsidR="006B7A51" w:rsidRDefault="006B7A51">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7179B0" w14:textId="77777777" w:rsidR="006B7A51" w:rsidRDefault="006B7A51"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TS12</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55FBC0" w14:textId="77777777" w:rsidR="006B7A51" w:rsidRDefault="006B7A51"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Develop emotional intelligence and sensitivity to diversity in relation to people, cultures and environments.</w:t>
            </w:r>
          </w:p>
        </w:tc>
      </w:tr>
      <w:tr w:rsidR="00A52E24" w14:paraId="62B96C19" w14:textId="77777777">
        <w:trPr>
          <w:trHeight w:val="504"/>
        </w:trPr>
        <w:tc>
          <w:tcPr>
            <w:tcW w:w="637"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318294" w14:textId="77777777" w:rsidR="00A52E24" w:rsidRDefault="00A52E24">
            <w:pPr>
              <w:pStyle w:val="Standard"/>
              <w:tabs>
                <w:tab w:val="left" w:pos="720"/>
                <w:tab w:val="left" w:pos="1080"/>
              </w:tabs>
              <w:spacing w:after="0" w:line="240" w:lineRule="auto"/>
              <w:rPr>
                <w:rFonts w:ascii="Arial" w:eastAsia="Times New Roman" w:hAnsi="Arial" w:cs="Arial"/>
                <w:sz w:val="24"/>
                <w:szCs w:val="24"/>
              </w:rPr>
            </w:pPr>
          </w:p>
        </w:tc>
        <w:tc>
          <w:tcPr>
            <w:tcW w:w="100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6B4366" w14:textId="77777777" w:rsidR="00A52E24" w:rsidRDefault="00A52E24" w:rsidP="00A52E24">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TS13</w:t>
            </w:r>
          </w:p>
        </w:tc>
        <w:tc>
          <w:tcPr>
            <w:tcW w:w="9047" w:type="dxa"/>
            <w:gridSpan w:val="2"/>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05A5E1" w14:textId="77777777" w:rsidR="00A52E24" w:rsidRDefault="00A52E24" w:rsidP="00A52E24">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Show awareness of current developments within the engineering industry and their impact on employability and CPD.</w:t>
            </w:r>
          </w:p>
        </w:tc>
      </w:tr>
    </w:tbl>
    <w:p w14:paraId="7E74E03B" w14:textId="77777777" w:rsidR="00414D2E" w:rsidRDefault="00414D2E">
      <w:pPr>
        <w:pageBreakBefore/>
      </w:pPr>
    </w:p>
    <w:tbl>
      <w:tblPr>
        <w:tblW w:w="10696" w:type="dxa"/>
        <w:jc w:val="center"/>
        <w:tblCellMar>
          <w:left w:w="10" w:type="dxa"/>
          <w:right w:w="10" w:type="dxa"/>
        </w:tblCellMar>
        <w:tblLook w:val="0000" w:firstRow="0" w:lastRow="0" w:firstColumn="0" w:lastColumn="0" w:noHBand="0" w:noVBand="0"/>
      </w:tblPr>
      <w:tblGrid>
        <w:gridCol w:w="602"/>
        <w:gridCol w:w="10094"/>
      </w:tblGrid>
      <w:tr w:rsidR="00414D2E" w14:paraId="4E165B74" w14:textId="77777777" w:rsidTr="0022043B">
        <w:trPr>
          <w:trHeight w:val="1594"/>
          <w:jc w:val="center"/>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CB3FE0"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15</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5E6BBC"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Key Learning &amp; Teaching Strategy Methods</w:t>
            </w:r>
          </w:p>
          <w:p w14:paraId="1557F2B3" w14:textId="77777777" w:rsidR="00414D2E" w:rsidRDefault="00414D2E">
            <w:pPr>
              <w:pStyle w:val="Standard"/>
              <w:tabs>
                <w:tab w:val="left" w:pos="720"/>
                <w:tab w:val="left" w:pos="1080"/>
              </w:tabs>
              <w:spacing w:after="0" w:line="240" w:lineRule="auto"/>
              <w:rPr>
                <w:rFonts w:ascii="Arial" w:eastAsia="Times New Roman" w:hAnsi="Arial" w:cs="Arial"/>
                <w:i/>
                <w:sz w:val="24"/>
                <w:szCs w:val="24"/>
              </w:rPr>
            </w:pPr>
          </w:p>
          <w:p w14:paraId="6A0689FA" w14:textId="77777777" w:rsidR="00414D2E" w:rsidRDefault="00EC6D47">
            <w:pPr>
              <w:pStyle w:val="Standard"/>
              <w:tabs>
                <w:tab w:val="left" w:pos="320"/>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learning and teaching strategy for the HND Engineering (Electrical and Electronic Engineering) is explicitly designed to contribute to the achievement of the intended learning outcomes which are clearly expressed at programme and unit level.</w:t>
            </w:r>
          </w:p>
          <w:p w14:paraId="17E82A91" w14:textId="77777777" w:rsidR="00414D2E" w:rsidRDefault="00414D2E">
            <w:pPr>
              <w:pStyle w:val="Standard"/>
              <w:tabs>
                <w:tab w:val="left" w:pos="320"/>
                <w:tab w:val="left" w:pos="720"/>
                <w:tab w:val="left" w:pos="1080"/>
              </w:tabs>
              <w:spacing w:after="0" w:line="240" w:lineRule="auto"/>
              <w:rPr>
                <w:rFonts w:ascii="Arial" w:eastAsia="Times New Roman" w:hAnsi="Arial" w:cs="Arial"/>
                <w:sz w:val="24"/>
                <w:szCs w:val="24"/>
              </w:rPr>
            </w:pPr>
          </w:p>
          <w:tbl>
            <w:tblPr>
              <w:tblW w:w="0" w:type="auto"/>
              <w:tblCellMar>
                <w:left w:w="10" w:type="dxa"/>
                <w:right w:w="10" w:type="dxa"/>
              </w:tblCellMar>
              <w:tblLook w:val="0000" w:firstRow="0" w:lastRow="0" w:firstColumn="0" w:lastColumn="0" w:noHBand="0" w:noVBand="0"/>
            </w:tblPr>
            <w:tblGrid>
              <w:gridCol w:w="2282"/>
              <w:gridCol w:w="7581"/>
            </w:tblGrid>
            <w:tr w:rsidR="00A52E24" w14:paraId="7D181878"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B5C1FC" w14:textId="77777777" w:rsidR="00A52E24" w:rsidRDefault="00A52E24" w:rsidP="00A52E24">
                  <w:pPr>
                    <w:pStyle w:val="Standard"/>
                    <w:rPr>
                      <w:rFonts w:ascii="Arial" w:hAnsi="Arial" w:cs="Arial"/>
                      <w:color w:val="000000"/>
                      <w:sz w:val="24"/>
                      <w:szCs w:val="24"/>
                    </w:rPr>
                  </w:pPr>
                  <w:r>
                    <w:rPr>
                      <w:rFonts w:ascii="Arial" w:hAnsi="Arial" w:cs="Arial"/>
                      <w:color w:val="000000"/>
                      <w:sz w:val="24"/>
                      <w:szCs w:val="24"/>
                    </w:rPr>
                    <w:t>Lectures and Seminars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DFBB10" w14:textId="77777777" w:rsidR="00A52E24" w:rsidRDefault="00A52E24" w:rsidP="00A52E24">
                  <w:pPr>
                    <w:pStyle w:val="Standard"/>
                    <w:spacing w:line="240" w:lineRule="auto"/>
                    <w:ind w:right="227"/>
                  </w:pPr>
                  <w:r>
                    <w:rPr>
                      <w:rFonts w:ascii="Arial" w:hAnsi="Arial" w:cs="Arial"/>
                      <w:color w:val="000000"/>
                      <w:sz w:val="24"/>
                      <w:szCs w:val="24"/>
                    </w:rPr>
                    <w:t>Along with workshops these are the most common techniques used by lecturers in the School of Engineering. They offer an opportunity to engage with the full cohort of students, where the focus is on sharing knowledge through the use of presentations. Unit tutors have extensive subject specialist knowledge and experience which is embedded into lectures and seminars to ensure that the students have up to date and industry specific knowledge.</w:t>
                  </w:r>
                </w:p>
              </w:tc>
            </w:tr>
            <w:tr w:rsidR="00414D2E" w14:paraId="2386A096"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6FB49F" w14:textId="77777777" w:rsidR="00414D2E" w:rsidRDefault="00EC6D47">
                  <w:pPr>
                    <w:pStyle w:val="Standard"/>
                  </w:pPr>
                  <w:r>
                    <w:rPr>
                      <w:rFonts w:ascii="Arial" w:hAnsi="Arial" w:cs="Arial"/>
                      <w:color w:val="000000"/>
                      <w:sz w:val="24"/>
                      <w:szCs w:val="24"/>
                    </w:rPr>
                    <w:t>Workshops and Labs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10981" w14:textId="77777777" w:rsidR="00414D2E" w:rsidRDefault="00EC6D47" w:rsidP="00A52E24">
                  <w:pPr>
                    <w:pStyle w:val="Standard"/>
                    <w:spacing w:line="240" w:lineRule="auto"/>
                  </w:pPr>
                  <w:r>
                    <w:rPr>
                      <w:rFonts w:ascii="Arial" w:hAnsi="Arial" w:cs="Arial"/>
                      <w:color w:val="000000"/>
                      <w:sz w:val="24"/>
                      <w:szCs w:val="24"/>
                    </w:rPr>
                    <w:t>These are used to build on knowledge shared via tutors and seminars. They allow the student to experience first-hand the range of specialist software, hardware and equipment used in the engineering industry. Teaching can be more in-depth where knowledge is applied, for example to case studies or real-life examples. Workshops could be student-led, where students present, for example, findings from independent study. Workshops are timetabled for each unit to ensure that students are able to stretch their learning and seek additional support from teaching staff.  The balance between lectures, seminars and workshops is dictated by the learning outcomes for each unit.</w:t>
                  </w:r>
                </w:p>
              </w:tc>
            </w:tr>
            <w:tr w:rsidR="00414D2E" w14:paraId="73AA9B80"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B64BE" w14:textId="77777777" w:rsidR="00414D2E" w:rsidRDefault="00EC6D47">
                  <w:pPr>
                    <w:pStyle w:val="Standard"/>
                    <w:rPr>
                      <w:rFonts w:ascii="Arial" w:hAnsi="Arial" w:cs="Arial"/>
                      <w:color w:val="000000"/>
                      <w:sz w:val="24"/>
                      <w:szCs w:val="24"/>
                    </w:rPr>
                  </w:pPr>
                  <w:r>
                    <w:rPr>
                      <w:rFonts w:ascii="Arial" w:hAnsi="Arial" w:cs="Arial"/>
                      <w:color w:val="000000"/>
                      <w:sz w:val="24"/>
                      <w:szCs w:val="24"/>
                    </w:rPr>
                    <w:t>Tutorials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E4CD73" w14:textId="77777777" w:rsidR="00414D2E" w:rsidRDefault="00EC6D47" w:rsidP="00A52E24">
                  <w:pPr>
                    <w:pStyle w:val="Standard"/>
                    <w:spacing w:line="240" w:lineRule="auto"/>
                    <w:rPr>
                      <w:rFonts w:ascii="Arial" w:hAnsi="Arial" w:cs="Arial"/>
                      <w:color w:val="000000"/>
                      <w:sz w:val="24"/>
                      <w:szCs w:val="24"/>
                    </w:rPr>
                  </w:pPr>
                  <w:r>
                    <w:rPr>
                      <w:rFonts w:ascii="Arial" w:hAnsi="Arial" w:cs="Arial"/>
                      <w:color w:val="000000"/>
                      <w:sz w:val="24"/>
                      <w:szCs w:val="24"/>
                    </w:rPr>
                    <w:t>These provide an opportunity for focused one-to-one support, where teaching is led by an individual student’s requirements. These can be most effective in the run up to assessment, where tutors can provide more focused direction, perhaps based on a formative assessment. Students will have a structured tutorial programme and have the option to request additional tutorials if required. All students will participate in an extensive induction which will commence at the start of the programme and continue throughout their studies. This will include re-visiting and developing academic skills including academic writing, research and referencing, alongside developing key soft skills.</w:t>
                  </w:r>
                </w:p>
              </w:tc>
            </w:tr>
            <w:tr w:rsidR="00414D2E" w14:paraId="03731762"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C7ED3" w14:textId="77777777" w:rsidR="00414D2E" w:rsidRDefault="00EC6D47">
                  <w:pPr>
                    <w:pStyle w:val="Standard"/>
                    <w:rPr>
                      <w:rFonts w:ascii="Arial" w:hAnsi="Arial" w:cs="Arial"/>
                      <w:color w:val="000000"/>
                      <w:sz w:val="24"/>
                      <w:szCs w:val="24"/>
                    </w:rPr>
                  </w:pPr>
                  <w:r>
                    <w:rPr>
                      <w:rFonts w:ascii="Arial" w:hAnsi="Arial" w:cs="Arial"/>
                      <w:color w:val="000000"/>
                      <w:sz w:val="24"/>
                      <w:szCs w:val="24"/>
                    </w:rPr>
                    <w:t>Virtual Learning Environments (VLEs) Moodle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3A5246" w14:textId="77777777" w:rsidR="00414D2E" w:rsidRDefault="00EC6D47" w:rsidP="00A52E24">
                  <w:pPr>
                    <w:pStyle w:val="Standard"/>
                    <w:spacing w:line="240" w:lineRule="auto"/>
                  </w:pPr>
                  <w:r>
                    <w:rPr>
                      <w:rFonts w:ascii="Arial" w:hAnsi="Arial" w:cs="Arial"/>
                      <w:color w:val="000000"/>
                      <w:sz w:val="24"/>
                      <w:szCs w:val="24"/>
                    </w:rPr>
                    <w:t>These are invaluable to students studying on a face-to-face programme. Used effectively, VLEs not only provide a repository for taught material such as presentation slides or handouts, but could be used to set formative tasks such as quizzes. Fur</w:t>
                  </w:r>
                  <w:r w:rsidR="00A52E24">
                    <w:rPr>
                      <w:rFonts w:ascii="Arial" w:hAnsi="Arial" w:cs="Arial"/>
                      <w:color w:val="000000"/>
                      <w:sz w:val="24"/>
                      <w:szCs w:val="24"/>
                    </w:rPr>
                    <w:t xml:space="preserve">ther reading is located on the </w:t>
                  </w:r>
                  <w:r>
                    <w:rPr>
                      <w:rFonts w:ascii="Arial" w:hAnsi="Arial" w:cs="Arial"/>
                      <w:color w:val="000000"/>
                      <w:sz w:val="24"/>
                      <w:szCs w:val="24"/>
                    </w:rPr>
                    <w:t>VLE, along with a copy of the programme documents, such as the handbook and assessment timetable.  The subject specialist librarian regularly accesses and updates programme and Moodle pages to ensure that the most relevant and up to date journals and e-books are linked and students have access to them. Tutors provide a wide range of resources on Moodle including further reading, videos, flipped learning tasks and links to essential sources.</w:t>
                  </w:r>
                </w:p>
              </w:tc>
            </w:tr>
            <w:tr w:rsidR="00414D2E" w14:paraId="56D2581F"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4B6CE" w14:textId="77777777" w:rsidR="00414D2E" w:rsidRDefault="00EC6D47">
                  <w:pPr>
                    <w:pStyle w:val="Standard"/>
                    <w:rPr>
                      <w:rFonts w:ascii="Arial" w:hAnsi="Arial" w:cs="Arial"/>
                      <w:color w:val="000000"/>
                      <w:sz w:val="24"/>
                      <w:szCs w:val="24"/>
                    </w:rPr>
                  </w:pPr>
                  <w:r>
                    <w:rPr>
                      <w:rFonts w:ascii="Arial" w:hAnsi="Arial" w:cs="Arial"/>
                      <w:color w:val="000000"/>
                      <w:sz w:val="24"/>
                      <w:szCs w:val="24"/>
                    </w:rPr>
                    <w:lastRenderedPageBreak/>
                    <w:t>Work Based Learning</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6037B" w14:textId="77777777" w:rsidR="00414D2E" w:rsidRDefault="00EC6D47" w:rsidP="00A52E24">
                  <w:pPr>
                    <w:pStyle w:val="Standard"/>
                    <w:spacing w:line="240" w:lineRule="auto"/>
                  </w:pPr>
                  <w:r>
                    <w:rPr>
                      <w:rFonts w:ascii="Arial" w:hAnsi="Arial" w:cs="Arial"/>
                      <w:color w:val="000000"/>
                      <w:sz w:val="24"/>
                      <w:szCs w:val="24"/>
                    </w:rPr>
                    <w:t>The School of Engineering works closely with a number of industry partners to ensure that academic content is closely linked to the world of work. This adds realism and provides students with an opportunity to link theory to practice. Many of the students are already employed in the engineering industry and this provides an opportunity to share industry practice with those students progressing from Level 3.</w:t>
                  </w:r>
                </w:p>
                <w:p w14:paraId="4DF06F42" w14:textId="77777777" w:rsidR="00414D2E" w:rsidRDefault="00EC6D47" w:rsidP="00A52E24">
                  <w:pPr>
                    <w:pStyle w:val="Standard"/>
                    <w:spacing w:line="240" w:lineRule="auto"/>
                  </w:pPr>
                  <w:r>
                    <w:rPr>
                      <w:rFonts w:ascii="Arial" w:hAnsi="Arial" w:cs="Arial"/>
                      <w:color w:val="000000"/>
                      <w:sz w:val="24"/>
                      <w:szCs w:val="24"/>
                    </w:rPr>
                    <w:t>As far as possible, each student will undertake a ‘live’ project as part of the programme. The specification for this will be agreed with an industry partner or employer who may also provide mentoring, site visits, support and advice during the development stage. The School of Engineering record student presentations of their project work and these are made available to Level 4 students, employers, stakeholders and external examiners. This provides valuable feedback for students as well as providing a further opportunity to engage with the wider engineering community.</w:t>
                  </w:r>
                </w:p>
                <w:p w14:paraId="1BE90E32" w14:textId="77777777" w:rsidR="00414D2E" w:rsidRDefault="00EC6D47" w:rsidP="00A52E24">
                  <w:pPr>
                    <w:pStyle w:val="Standard"/>
                    <w:spacing w:line="240" w:lineRule="auto"/>
                  </w:pPr>
                  <w:r>
                    <w:rPr>
                      <w:rFonts w:ascii="Arial" w:hAnsi="Arial"/>
                      <w:sz w:val="24"/>
                      <w:szCs w:val="24"/>
                    </w:rPr>
                    <w:t>Although work placements are not mandatory on the programme, Beacon recruitment will be present in the induction to discuss the options for work placements. Students who are not work based will be encouraged to undertake industry work placements throughout their programme to enrich the skills and knowledge gained and to develop contacts in the engineering industry. Students will also be encouraged to register with Beacon recruitment to gain part-time employment whilst studying.</w:t>
                  </w:r>
                </w:p>
              </w:tc>
            </w:tr>
            <w:tr w:rsidR="00414D2E" w14:paraId="758CDCC4"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B93CC" w14:textId="77777777" w:rsidR="00414D2E" w:rsidRDefault="00EC6D47">
                  <w:pPr>
                    <w:pStyle w:val="Standard"/>
                    <w:rPr>
                      <w:rFonts w:ascii="Arial" w:hAnsi="Arial" w:cs="Arial"/>
                      <w:color w:val="000000"/>
                      <w:sz w:val="24"/>
                      <w:szCs w:val="24"/>
                    </w:rPr>
                  </w:pPr>
                  <w:r>
                    <w:rPr>
                      <w:rFonts w:ascii="Arial" w:hAnsi="Arial" w:cs="Arial"/>
                      <w:color w:val="000000"/>
                      <w:sz w:val="24"/>
                      <w:szCs w:val="24"/>
                    </w:rPr>
                    <w:t>Guest Speakers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1E096" w14:textId="44E64F75" w:rsidR="00414D2E" w:rsidRDefault="00EC6D47" w:rsidP="00A52E24">
                  <w:pPr>
                    <w:pStyle w:val="Standard"/>
                    <w:spacing w:line="240" w:lineRule="auto"/>
                  </w:pPr>
                  <w:r>
                    <w:rPr>
                      <w:rFonts w:ascii="Arial" w:hAnsi="Arial" w:cs="Arial"/>
                      <w:color w:val="000000"/>
                      <w:sz w:val="24"/>
                      <w:szCs w:val="24"/>
                    </w:rPr>
                    <w:t xml:space="preserve">The </w:t>
                  </w:r>
                  <w:r w:rsidR="000339E0" w:rsidRPr="000339E0">
                    <w:rPr>
                      <w:rFonts w:ascii="Arial" w:hAnsi="Arial" w:cs="Arial"/>
                      <w:color w:val="000000"/>
                      <w:sz w:val="24"/>
                      <w:szCs w:val="24"/>
                    </w:rPr>
                    <w:t xml:space="preserve">School of Engineering </w:t>
                  </w:r>
                  <w:r>
                    <w:rPr>
                      <w:rFonts w:ascii="Arial" w:hAnsi="Arial" w:cs="Arial"/>
                      <w:color w:val="000000"/>
                      <w:sz w:val="24"/>
                      <w:szCs w:val="24"/>
                    </w:rPr>
                    <w:t>hold an annual Student Conference. This features talks from alumni who are now working successfully in industry. The conference also features talks from final year students who, through sharing their experience, provide inspiration and focus for our Level 4 and 5 students.</w:t>
                  </w:r>
                </w:p>
                <w:p w14:paraId="6201AE69" w14:textId="77777777" w:rsidR="00414D2E" w:rsidRDefault="00EC6D47" w:rsidP="00A52E24">
                  <w:pPr>
                    <w:pStyle w:val="Standard"/>
                    <w:spacing w:line="240" w:lineRule="auto"/>
                  </w:pPr>
                  <w:r>
                    <w:rPr>
                      <w:rFonts w:ascii="Arial" w:hAnsi="Arial" w:cs="Arial"/>
                      <w:color w:val="000000"/>
                      <w:sz w:val="24"/>
                      <w:szCs w:val="24"/>
                    </w:rPr>
                    <w:t>The objective is to make the most effective use of an expert’s knowledge and skill by adding value to the teaching and learning experience.</w:t>
                  </w:r>
                </w:p>
              </w:tc>
            </w:tr>
            <w:tr w:rsidR="00A52E24" w14:paraId="7839EB8E" w14:textId="77777777" w:rsidTr="0022043B">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FE3740" w14:textId="77777777" w:rsidR="00A52E24" w:rsidRDefault="00A52E24">
                  <w:pPr>
                    <w:pStyle w:val="Standard"/>
                    <w:rPr>
                      <w:rFonts w:ascii="Arial" w:hAnsi="Arial" w:cs="Arial"/>
                      <w:color w:val="000000"/>
                      <w:sz w:val="24"/>
                      <w:szCs w:val="24"/>
                    </w:rPr>
                  </w:pPr>
                  <w:r>
                    <w:rPr>
                      <w:rFonts w:ascii="Arial" w:hAnsi="Arial" w:cs="Arial"/>
                      <w:color w:val="000000"/>
                      <w:sz w:val="24"/>
                      <w:szCs w:val="24"/>
                    </w:rPr>
                    <w:t>Field Trips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9A6965" w14:textId="77777777" w:rsidR="00A52E24" w:rsidRDefault="00A52E24" w:rsidP="00A52E24">
                  <w:pPr>
                    <w:pStyle w:val="Standard"/>
                    <w:spacing w:line="240" w:lineRule="auto"/>
                  </w:pPr>
                  <w:r>
                    <w:rPr>
                      <w:rFonts w:ascii="Arial" w:hAnsi="Arial" w:cs="Arial"/>
                      <w:color w:val="000000"/>
                      <w:sz w:val="24"/>
                      <w:szCs w:val="24"/>
                    </w:rPr>
                    <w:t>Effectively planned field trips, which have a direct relevance to the syllabus, add value to the learning experience. The School of Engineering plans a range of visits to conferences, seminars and events during the academic year. These include visits to:</w:t>
                  </w:r>
                </w:p>
                <w:p w14:paraId="74CA04AE" w14:textId="77777777" w:rsidR="00A52E24" w:rsidRDefault="00A52E24" w:rsidP="00A52E24">
                  <w:pPr>
                    <w:pStyle w:val="Standard"/>
                    <w:numPr>
                      <w:ilvl w:val="0"/>
                      <w:numId w:val="28"/>
                    </w:numPr>
                    <w:spacing w:line="240" w:lineRule="auto"/>
                    <w:ind w:left="687"/>
                    <w:rPr>
                      <w:rFonts w:ascii="Arial" w:hAnsi="Arial" w:cs="Arial"/>
                      <w:color w:val="000000"/>
                      <w:sz w:val="24"/>
                      <w:szCs w:val="24"/>
                    </w:rPr>
                  </w:pPr>
                  <w:r>
                    <w:rPr>
                      <w:rFonts w:ascii="Arial" w:hAnsi="Arial" w:cs="Arial"/>
                      <w:color w:val="000000"/>
                      <w:sz w:val="24"/>
                      <w:szCs w:val="24"/>
                    </w:rPr>
                    <w:t>Doncaster Cable - Manufacturers of Electrical Cabling</w:t>
                  </w:r>
                </w:p>
                <w:p w14:paraId="052281DF" w14:textId="77777777" w:rsidR="00A52E24" w:rsidRDefault="00A52E24" w:rsidP="00A52E24">
                  <w:pPr>
                    <w:pStyle w:val="Standard"/>
                    <w:numPr>
                      <w:ilvl w:val="0"/>
                      <w:numId w:val="28"/>
                    </w:numPr>
                    <w:spacing w:line="240" w:lineRule="auto"/>
                    <w:ind w:left="687"/>
                    <w:rPr>
                      <w:rFonts w:ascii="Arial" w:hAnsi="Arial" w:cs="Arial"/>
                      <w:color w:val="000000"/>
                      <w:sz w:val="24"/>
                      <w:szCs w:val="24"/>
                    </w:rPr>
                  </w:pPr>
                  <w:r>
                    <w:rPr>
                      <w:rFonts w:ascii="Arial" w:hAnsi="Arial" w:cs="Arial"/>
                      <w:color w:val="000000"/>
                      <w:sz w:val="24"/>
                      <w:szCs w:val="24"/>
                    </w:rPr>
                    <w:t>Siemens, Leeds</w:t>
                  </w:r>
                </w:p>
                <w:p w14:paraId="17DD08D4" w14:textId="77777777" w:rsidR="00A52E24" w:rsidRDefault="00A52E24" w:rsidP="00A52E24">
                  <w:pPr>
                    <w:pStyle w:val="Standard"/>
                    <w:numPr>
                      <w:ilvl w:val="0"/>
                      <w:numId w:val="28"/>
                    </w:numPr>
                    <w:spacing w:line="240" w:lineRule="auto"/>
                    <w:ind w:left="687"/>
                    <w:rPr>
                      <w:rFonts w:ascii="Arial" w:hAnsi="Arial" w:cs="Arial"/>
                      <w:color w:val="000000"/>
                      <w:sz w:val="24"/>
                      <w:szCs w:val="24"/>
                    </w:rPr>
                  </w:pPr>
                  <w:r>
                    <w:rPr>
                      <w:rFonts w:ascii="Arial" w:hAnsi="Arial" w:cs="Arial"/>
                      <w:color w:val="000000"/>
                      <w:sz w:val="24"/>
                      <w:szCs w:val="24"/>
                    </w:rPr>
                    <w:t>Drax Power Station</w:t>
                  </w:r>
                </w:p>
                <w:p w14:paraId="15A86511" w14:textId="77777777" w:rsidR="00A52E24" w:rsidRDefault="00A52E24" w:rsidP="00A52E24">
                  <w:pPr>
                    <w:pStyle w:val="Standard"/>
                    <w:spacing w:line="240" w:lineRule="auto"/>
                    <w:rPr>
                      <w:rFonts w:ascii="Arial" w:hAnsi="Arial" w:cs="Arial"/>
                      <w:color w:val="000000"/>
                      <w:sz w:val="24"/>
                      <w:szCs w:val="24"/>
                    </w:rPr>
                  </w:pPr>
                  <w:r>
                    <w:rPr>
                      <w:rFonts w:ascii="Arial" w:hAnsi="Arial" w:cs="Arial"/>
                      <w:color w:val="000000"/>
                      <w:sz w:val="24"/>
                      <w:szCs w:val="24"/>
                    </w:rPr>
                    <w:t>Through these trips students relate theory to practice, have an opportunity to experience organisations in action and, potentially, open their minds to career routes.</w:t>
                  </w:r>
                </w:p>
              </w:tc>
            </w:tr>
          </w:tbl>
          <w:p w14:paraId="610E9122" w14:textId="77777777" w:rsidR="00414D2E" w:rsidRDefault="00414D2E" w:rsidP="00A52E24">
            <w:pPr>
              <w:pStyle w:val="Standard"/>
              <w:tabs>
                <w:tab w:val="left" w:pos="720"/>
                <w:tab w:val="left" w:pos="1080"/>
              </w:tabs>
              <w:spacing w:after="0" w:line="240" w:lineRule="auto"/>
              <w:rPr>
                <w:rFonts w:ascii="Arial" w:hAnsi="Arial" w:cs="Arial"/>
                <w:sz w:val="24"/>
                <w:szCs w:val="24"/>
              </w:rPr>
            </w:pPr>
          </w:p>
          <w:p w14:paraId="06E2AA95" w14:textId="1668EF30" w:rsidR="00A52E24" w:rsidRDefault="00A52E24" w:rsidP="00A52E24">
            <w:pPr>
              <w:pStyle w:val="Standard"/>
              <w:tabs>
                <w:tab w:val="left" w:pos="320"/>
                <w:tab w:val="left" w:pos="720"/>
                <w:tab w:val="left" w:pos="1080"/>
              </w:tabs>
              <w:spacing w:after="0" w:line="240" w:lineRule="auto"/>
            </w:pPr>
            <w:r>
              <w:rPr>
                <w:rFonts w:ascii="Arial" w:eastAsia="Times New Roman" w:hAnsi="Arial" w:cs="Arial"/>
                <w:sz w:val="24"/>
                <w:szCs w:val="24"/>
              </w:rPr>
              <w:lastRenderedPageBreak/>
              <w:t>The programme will produce students who possess a rounded knowledge and understanding of Engineering principles and have the skills to analyse complex problems appropriate to Engineering.  The learning and teaching strategy is designed to supplement the students’ existing knowledge and to encourage their acquisition of new subject knowledge while supporting them in the move towards a greater degree of independence and self-direction.  It has been informed by the College’s HE Learning, Teaching and Assessment Strategy</w:t>
            </w:r>
            <w:r w:rsidRPr="00B94186">
              <w:rPr>
                <w:rFonts w:ascii="Arial" w:eastAsia="Times New Roman" w:hAnsi="Arial" w:cs="Arial"/>
                <w:sz w:val="24"/>
                <w:szCs w:val="24"/>
              </w:rPr>
              <w:t>.</w:t>
            </w:r>
          </w:p>
          <w:p w14:paraId="40B6D8D1"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p>
          <w:p w14:paraId="41A896BA"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All students have access to College library/learning centre resources including Maths and English Language workshops.</w:t>
            </w:r>
          </w:p>
          <w:p w14:paraId="7BAB3E60" w14:textId="77777777" w:rsidR="00A52E24" w:rsidRDefault="00A52E24" w:rsidP="00A52E24">
            <w:pPr>
              <w:pStyle w:val="Standard"/>
              <w:tabs>
                <w:tab w:val="left" w:pos="720"/>
                <w:tab w:val="left" w:pos="1080"/>
              </w:tabs>
              <w:spacing w:after="0" w:line="240" w:lineRule="auto"/>
              <w:rPr>
                <w:rFonts w:ascii="Arial" w:eastAsia="Times New Roman" w:hAnsi="Arial" w:cs="Arial"/>
                <w:sz w:val="24"/>
                <w:szCs w:val="24"/>
              </w:rPr>
            </w:pPr>
          </w:p>
          <w:p w14:paraId="7384DCC9" w14:textId="77777777" w:rsidR="00A52E24" w:rsidRDefault="00A52E24" w:rsidP="00A52E24">
            <w:pPr>
              <w:pStyle w:val="Standard"/>
              <w:tabs>
                <w:tab w:val="left" w:pos="320"/>
                <w:tab w:val="left" w:pos="720"/>
                <w:tab w:val="left" w:pos="108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Through lectures, students are encouraged to develop the understanding of the concepts, theories and principles prior to application.  Students will develop skills in listening and selective note taking and appreciate how information is structured and presented.</w:t>
            </w:r>
          </w:p>
          <w:p w14:paraId="4B170B39" w14:textId="77777777" w:rsidR="00414D2E" w:rsidRDefault="00414D2E">
            <w:pPr>
              <w:pStyle w:val="Standard"/>
              <w:tabs>
                <w:tab w:val="left" w:pos="720"/>
                <w:tab w:val="left" w:pos="1080"/>
              </w:tabs>
              <w:spacing w:line="240" w:lineRule="auto"/>
              <w:rPr>
                <w:rFonts w:ascii="Arial" w:hAnsi="Arial" w:cs="Arial"/>
                <w:sz w:val="24"/>
                <w:szCs w:val="24"/>
              </w:rPr>
            </w:pPr>
          </w:p>
        </w:tc>
      </w:tr>
      <w:tr w:rsidR="00414D2E" w14:paraId="6969719D" w14:textId="77777777" w:rsidTr="0022043B">
        <w:trPr>
          <w:trHeight w:val="1310"/>
          <w:jc w:val="center"/>
        </w:trPr>
        <w:tc>
          <w:tcPr>
            <w:tcW w:w="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BF5180"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16</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A6659B"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Key Assessment Strategy/Methods</w:t>
            </w:r>
          </w:p>
          <w:p w14:paraId="1294B770"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6E4E0C24" w14:textId="07ABDB9B" w:rsidR="00A52E24" w:rsidRDefault="00A52E24" w:rsidP="00A52E24">
            <w:pPr>
              <w:pStyle w:val="Standard"/>
              <w:spacing w:after="0" w:line="240" w:lineRule="auto"/>
            </w:pPr>
            <w:r>
              <w:rPr>
                <w:rFonts w:ascii="Arial" w:eastAsia="Times New Roman" w:hAnsi="Arial" w:cs="Arial"/>
                <w:sz w:val="24"/>
                <w:szCs w:val="24"/>
              </w:rPr>
              <w:t xml:space="preserve">The programme assessment strategy was developed with reference to the College HE Learning, Teaching and Assessment Strategy.  </w:t>
            </w:r>
            <w:r>
              <w:rPr>
                <w:rFonts w:ascii="Arial" w:hAnsi="Arial" w:cs="Arial"/>
                <w:color w:val="000000"/>
                <w:sz w:val="24"/>
                <w:szCs w:val="24"/>
                <w:lang w:eastAsia="en-GB"/>
              </w:rPr>
              <w:t>The assessment process for the HNC/D Engineering programmes reflects both the aims and learning objectives of the programme and establishes clear links with the underlying philosophy of the learning and teaching strategy.  This requires the use of a wide range of assessment methods involving an appropriate balance between formative and summative methods.</w:t>
            </w:r>
          </w:p>
          <w:p w14:paraId="4334B3B8" w14:textId="77777777" w:rsidR="00A52E24" w:rsidRDefault="00A52E24" w:rsidP="00A52E24">
            <w:pPr>
              <w:pStyle w:val="Standard"/>
              <w:spacing w:after="0" w:line="240" w:lineRule="auto"/>
              <w:rPr>
                <w:rFonts w:ascii="Arial" w:hAnsi="Arial" w:cs="Arial"/>
                <w:color w:val="000000"/>
                <w:sz w:val="24"/>
                <w:szCs w:val="24"/>
                <w:lang w:eastAsia="en-GB"/>
              </w:rPr>
            </w:pPr>
          </w:p>
          <w:p w14:paraId="57DF7063" w14:textId="77777777" w:rsidR="00A52E24" w:rsidRDefault="00A52E24" w:rsidP="00A52E24">
            <w:pPr>
              <w:pStyle w:val="Standard"/>
              <w:tabs>
                <w:tab w:val="left" w:pos="720"/>
                <w:tab w:val="left" w:pos="1080"/>
              </w:tabs>
              <w:spacing w:after="0" w:line="240" w:lineRule="auto"/>
            </w:pPr>
            <w:r>
              <w:rPr>
                <w:rFonts w:ascii="Arial" w:hAnsi="Arial" w:cs="Arial"/>
                <w:sz w:val="24"/>
                <w:szCs w:val="24"/>
              </w:rPr>
              <w:t>Formative assessment is primarily developmental in nature and designed to give feedback to students on their performance and progress.  Assessment designed formatively should develop and consolidate knowledge, understanding, skills and competencies.  It is a key part of the learning process and can enhance learning and contribute to raising standards.  Through formative assessment tutors can identify students’ differing learning needs early on in the programme and so make timely corrective interventions.  Tutors can also reflect on the results of formative assessment to measure how effective the planned teaching and learning is at delivering the syllabus.  Each student should receive one set of written formative feedback.  This type of formative assessment encourages reflective practice, develops academic and personal skills and builds student confidence. Formative assessment is in evidence in all units throughout the programme.</w:t>
            </w:r>
          </w:p>
          <w:p w14:paraId="31E757F0" w14:textId="77777777" w:rsidR="00414D2E" w:rsidRDefault="00414D2E">
            <w:pPr>
              <w:pStyle w:val="Standard"/>
              <w:spacing w:after="0" w:line="240" w:lineRule="auto"/>
              <w:rPr>
                <w:rFonts w:ascii="Arial" w:hAnsi="Arial" w:cs="Arial"/>
                <w:color w:val="000000"/>
                <w:sz w:val="24"/>
                <w:szCs w:val="24"/>
                <w:lang w:eastAsia="en-GB"/>
              </w:rPr>
            </w:pPr>
          </w:p>
          <w:p w14:paraId="13256117" w14:textId="77777777" w:rsidR="00414D2E" w:rsidRDefault="00EC6D47">
            <w:pPr>
              <w:pStyle w:val="Standard"/>
              <w:spacing w:after="0" w:line="240" w:lineRule="auto"/>
              <w:rPr>
                <w:rFonts w:ascii="Arial" w:hAnsi="Arial" w:cs="Arial"/>
                <w:color w:val="000000"/>
                <w:sz w:val="24"/>
                <w:szCs w:val="24"/>
                <w:lang w:eastAsia="en-GB"/>
              </w:rPr>
            </w:pPr>
            <w:r>
              <w:rPr>
                <w:rFonts w:ascii="Arial" w:hAnsi="Arial" w:cs="Arial"/>
                <w:color w:val="000000"/>
                <w:sz w:val="24"/>
                <w:szCs w:val="24"/>
                <w:lang w:eastAsia="en-GB"/>
              </w:rPr>
              <w:t>Summative assessment is where students are provided with the assignment grades contributing towards the overall unit grade. For summative assessment to be effective it should also give students additional formative feedback to support ongoing development and improvement in subsequent assignments. All formative assessment feeds directly into the summative assessment for each unit and lays the foundations from which students develop the necessary knowledge and skills required for the summative assessment.</w:t>
            </w:r>
          </w:p>
          <w:p w14:paraId="1C0A6D19" w14:textId="77777777" w:rsidR="00414D2E" w:rsidRDefault="00414D2E">
            <w:pPr>
              <w:pStyle w:val="Standard"/>
              <w:spacing w:after="0" w:line="240" w:lineRule="auto"/>
              <w:rPr>
                <w:rFonts w:ascii="Arial" w:hAnsi="Arial" w:cs="Arial"/>
                <w:color w:val="000000"/>
                <w:sz w:val="24"/>
                <w:szCs w:val="24"/>
                <w:lang w:eastAsia="en-GB"/>
              </w:rPr>
            </w:pPr>
          </w:p>
          <w:p w14:paraId="57082555" w14:textId="77777777" w:rsidR="00414D2E" w:rsidRDefault="00EC6D47">
            <w:pPr>
              <w:pStyle w:val="Standard"/>
              <w:spacing w:after="0" w:line="240" w:lineRule="auto"/>
            </w:pPr>
            <w:r>
              <w:rPr>
                <w:rFonts w:ascii="Arial" w:hAnsi="Arial" w:cs="Arial"/>
                <w:sz w:val="24"/>
                <w:szCs w:val="24"/>
                <w:lang w:eastAsia="en-GB"/>
              </w:rPr>
              <w:t>Each unit has a set of assessment criteria which the student must demonstrate to achieve a pass grade. Students will undertake one or more pieces of assessment for each unit and will need to show the assessment criteria for the unit have been met. Some of the assessments have elements of negotiation where the student can make decisions and agree with the tutor what will be undertaken for assessment. This ensures that the work has personal and professional relevance.</w:t>
            </w:r>
          </w:p>
          <w:p w14:paraId="6E8D1221" w14:textId="77777777" w:rsidR="00414D2E" w:rsidRDefault="00414D2E">
            <w:pPr>
              <w:pStyle w:val="Default"/>
              <w:rPr>
                <w:rFonts w:ascii="Calibri" w:hAnsi="Calibri"/>
                <w:sz w:val="22"/>
                <w:szCs w:val="22"/>
              </w:rPr>
            </w:pPr>
          </w:p>
          <w:p w14:paraId="34FD7D8A" w14:textId="77777777" w:rsidR="00A52E24" w:rsidRDefault="00A52E24" w:rsidP="00A52E24">
            <w:pPr>
              <w:pStyle w:val="Default"/>
            </w:pPr>
            <w:r>
              <w:t>Underpinning assessment are the following principles:</w:t>
            </w:r>
          </w:p>
          <w:p w14:paraId="7BC5F337" w14:textId="77777777" w:rsidR="00A52E24" w:rsidRDefault="00A52E24" w:rsidP="00A52E24">
            <w:pPr>
              <w:pStyle w:val="Default"/>
            </w:pPr>
          </w:p>
          <w:p w14:paraId="74108E3F" w14:textId="77777777" w:rsidR="00A52E24" w:rsidRDefault="00A52E24" w:rsidP="00A52E24">
            <w:pPr>
              <w:pStyle w:val="Default"/>
              <w:numPr>
                <w:ilvl w:val="0"/>
                <w:numId w:val="29"/>
              </w:numPr>
              <w:ind w:left="534" w:hanging="283"/>
            </w:pPr>
            <w:r>
              <w:t>Assessment is valid - in that it tests an appropriate skill or ability;</w:t>
            </w:r>
          </w:p>
          <w:p w14:paraId="3A2DFE19" w14:textId="77777777" w:rsidR="00A52E24" w:rsidRDefault="00A52E24" w:rsidP="00A52E24">
            <w:pPr>
              <w:pStyle w:val="Default"/>
              <w:numPr>
                <w:ilvl w:val="0"/>
                <w:numId w:val="29"/>
              </w:numPr>
              <w:ind w:left="534" w:hanging="283"/>
            </w:pPr>
            <w:r>
              <w:t>Assessment is reliable - in that the same result would be achieved if repeated;</w:t>
            </w:r>
          </w:p>
          <w:p w14:paraId="1179DEA0" w14:textId="77777777" w:rsidR="00A52E24" w:rsidRDefault="00A52E24" w:rsidP="00A52E24">
            <w:pPr>
              <w:pStyle w:val="Default"/>
              <w:numPr>
                <w:ilvl w:val="0"/>
                <w:numId w:val="29"/>
              </w:numPr>
              <w:ind w:left="534" w:hanging="283"/>
            </w:pPr>
            <w:r>
              <w:t>Assessment is relevant - in that it is set in the context of the practices and needs of industry;</w:t>
            </w:r>
          </w:p>
          <w:p w14:paraId="0B5E55ED" w14:textId="77777777" w:rsidR="00A52E24" w:rsidRDefault="00A52E24" w:rsidP="00A52E24">
            <w:pPr>
              <w:pStyle w:val="Default"/>
              <w:numPr>
                <w:ilvl w:val="0"/>
                <w:numId w:val="29"/>
              </w:numPr>
              <w:ind w:left="534" w:hanging="283"/>
            </w:pPr>
            <w:r>
              <w:t>Assessment forms part of a student’s learning - in that assessment is not seen as simply a measurement tool but as a key part of the learning process and, through formative feedback, a means of supporting progression.</w:t>
            </w:r>
          </w:p>
          <w:p w14:paraId="3D13289C" w14:textId="77777777" w:rsidR="00A52E24" w:rsidRDefault="00A52E24" w:rsidP="00A52E24">
            <w:pPr>
              <w:pStyle w:val="Default"/>
            </w:pPr>
          </w:p>
          <w:p w14:paraId="2309B567" w14:textId="025B8D48" w:rsidR="00414D2E" w:rsidRDefault="00EC6D47">
            <w:pPr>
              <w:pStyle w:val="Default"/>
            </w:pPr>
            <w:r>
              <w:t xml:space="preserve">For each year of </w:t>
            </w:r>
            <w:r w:rsidR="008D15D3">
              <w:t>study,</w:t>
            </w:r>
            <w:r>
              <w:t xml:space="preserve"> the programme team will monitor summative assessment requirements across units in order to, where possible, smooth student workload.</w:t>
            </w:r>
          </w:p>
          <w:p w14:paraId="4680E3E5" w14:textId="77777777" w:rsidR="00414D2E" w:rsidRDefault="00414D2E">
            <w:pPr>
              <w:pStyle w:val="Default"/>
            </w:pPr>
          </w:p>
          <w:p w14:paraId="59B399DD" w14:textId="77777777" w:rsidR="00414D2E" w:rsidRDefault="00EC6D47">
            <w:pPr>
              <w:pStyle w:val="Standard"/>
              <w:spacing w:after="0" w:line="240" w:lineRule="auto"/>
              <w:rPr>
                <w:rFonts w:ascii="Arial" w:hAnsi="Arial" w:cs="Calibri"/>
                <w:sz w:val="24"/>
                <w:szCs w:val="24"/>
                <w:lang w:eastAsia="en-GB"/>
              </w:rPr>
            </w:pPr>
            <w:r>
              <w:rPr>
                <w:rFonts w:ascii="Arial" w:hAnsi="Arial" w:cs="Calibri"/>
                <w:sz w:val="24"/>
                <w:szCs w:val="24"/>
                <w:lang w:eastAsia="en-GB"/>
              </w:rPr>
              <w:t>Each unit in the programme has a set of assessment criteria which the student must demonstrate to pass the unit. Students will undertake one or more pieces of assessment for each unit and will need to show the assessment criteria for the unit have been met. Some of the assessments have elements of negotiation where the student can make decisions and agree with the tutor what will be undertaken for assessment. This ensures that the work has personal and professional relevance.</w:t>
            </w:r>
          </w:p>
          <w:p w14:paraId="5A228CAC" w14:textId="77777777" w:rsidR="00414D2E" w:rsidRDefault="00414D2E">
            <w:pPr>
              <w:pStyle w:val="Standard"/>
              <w:spacing w:after="0" w:line="240" w:lineRule="auto"/>
              <w:rPr>
                <w:rFonts w:ascii="Arial" w:hAnsi="Arial" w:cs="Calibri"/>
                <w:sz w:val="24"/>
                <w:szCs w:val="24"/>
                <w:lang w:eastAsia="en-GB"/>
              </w:rPr>
            </w:pPr>
          </w:p>
          <w:p w14:paraId="7A7B9712" w14:textId="77777777" w:rsidR="003E7C1A" w:rsidRDefault="003E7C1A" w:rsidP="003E7C1A">
            <w:pPr>
              <w:pStyle w:val="Standard"/>
              <w:spacing w:after="0" w:line="240" w:lineRule="auto"/>
              <w:rPr>
                <w:rFonts w:ascii="Arial" w:hAnsi="Arial" w:cs="Calibri"/>
                <w:sz w:val="24"/>
                <w:szCs w:val="24"/>
                <w:lang w:eastAsia="en-GB"/>
              </w:rPr>
            </w:pPr>
            <w:r>
              <w:rPr>
                <w:rFonts w:ascii="Arial" w:hAnsi="Arial" w:cs="Calibri"/>
                <w:sz w:val="24"/>
                <w:szCs w:val="24"/>
                <w:lang w:eastAsia="en-GB"/>
              </w:rPr>
              <w:t>Assessments may include elements of:</w:t>
            </w:r>
          </w:p>
          <w:p w14:paraId="725F7FA7" w14:textId="77777777" w:rsidR="003E7C1A" w:rsidRDefault="003E7C1A" w:rsidP="003E7C1A">
            <w:pPr>
              <w:pStyle w:val="Standard"/>
              <w:spacing w:after="0" w:line="240" w:lineRule="auto"/>
              <w:rPr>
                <w:rFonts w:ascii="Arial" w:hAnsi="Arial" w:cs="Calibri"/>
                <w:sz w:val="24"/>
                <w:szCs w:val="24"/>
                <w:lang w:eastAsia="en-GB"/>
              </w:rPr>
            </w:pPr>
          </w:p>
          <w:p w14:paraId="54B11C15" w14:textId="77777777" w:rsidR="003E7C1A" w:rsidRDefault="003E7C1A" w:rsidP="003E7C1A">
            <w:pPr>
              <w:pStyle w:val="Default"/>
              <w:numPr>
                <w:ilvl w:val="0"/>
                <w:numId w:val="30"/>
              </w:numPr>
              <w:ind w:left="534" w:hanging="283"/>
            </w:pPr>
            <w:r>
              <w:t>practical assessments</w:t>
            </w:r>
          </w:p>
          <w:p w14:paraId="298F398E" w14:textId="77777777" w:rsidR="003E7C1A" w:rsidRDefault="003E7C1A" w:rsidP="003E7C1A">
            <w:pPr>
              <w:pStyle w:val="Default"/>
              <w:numPr>
                <w:ilvl w:val="0"/>
                <w:numId w:val="30"/>
              </w:numPr>
              <w:ind w:left="534" w:hanging="283"/>
            </w:pPr>
            <w:r>
              <w:t>portfolios of evidence</w:t>
            </w:r>
          </w:p>
          <w:p w14:paraId="769FD3F3" w14:textId="77777777" w:rsidR="003E7C1A" w:rsidRDefault="003E7C1A" w:rsidP="003E7C1A">
            <w:pPr>
              <w:pStyle w:val="Default"/>
              <w:numPr>
                <w:ilvl w:val="0"/>
                <w:numId w:val="30"/>
              </w:numPr>
              <w:ind w:left="534" w:hanging="283"/>
            </w:pPr>
            <w:r>
              <w:t>‘in class’ tests</w:t>
            </w:r>
          </w:p>
          <w:p w14:paraId="6C930989" w14:textId="77777777" w:rsidR="003E7C1A" w:rsidRDefault="003E7C1A" w:rsidP="003E7C1A">
            <w:pPr>
              <w:pStyle w:val="Default"/>
              <w:numPr>
                <w:ilvl w:val="0"/>
                <w:numId w:val="30"/>
              </w:numPr>
              <w:ind w:left="534" w:hanging="283"/>
            </w:pPr>
            <w:r>
              <w:t>lab work</w:t>
            </w:r>
          </w:p>
          <w:p w14:paraId="5FE1BB23" w14:textId="77777777" w:rsidR="003E7C1A" w:rsidRDefault="003E7C1A" w:rsidP="003E7C1A">
            <w:pPr>
              <w:pStyle w:val="Default"/>
              <w:numPr>
                <w:ilvl w:val="0"/>
                <w:numId w:val="30"/>
              </w:numPr>
              <w:ind w:left="534" w:hanging="283"/>
            </w:pPr>
            <w:r>
              <w:t>case studies</w:t>
            </w:r>
          </w:p>
          <w:p w14:paraId="71D51CFB" w14:textId="77777777" w:rsidR="003E7C1A" w:rsidRDefault="003E7C1A" w:rsidP="003E7C1A">
            <w:pPr>
              <w:pStyle w:val="Default"/>
              <w:numPr>
                <w:ilvl w:val="0"/>
                <w:numId w:val="30"/>
              </w:numPr>
              <w:ind w:left="534" w:hanging="283"/>
            </w:pPr>
            <w:r>
              <w:t>examinations, both open and closed book</w:t>
            </w:r>
          </w:p>
          <w:p w14:paraId="17C5BF46" w14:textId="77777777" w:rsidR="003E7C1A" w:rsidRDefault="003E7C1A" w:rsidP="003E7C1A">
            <w:pPr>
              <w:pStyle w:val="Default"/>
              <w:numPr>
                <w:ilvl w:val="0"/>
                <w:numId w:val="30"/>
              </w:numPr>
              <w:ind w:left="534" w:hanging="283"/>
            </w:pPr>
            <w:r>
              <w:t>reflective activities where you look back over your experiences, analyse them with the assistance of relevant theory and reflective tools, and learn from the experience;</w:t>
            </w:r>
          </w:p>
          <w:p w14:paraId="18479E19" w14:textId="77777777" w:rsidR="003E7C1A" w:rsidRDefault="003E7C1A" w:rsidP="003E7C1A">
            <w:pPr>
              <w:pStyle w:val="Default"/>
              <w:numPr>
                <w:ilvl w:val="0"/>
                <w:numId w:val="30"/>
              </w:numPr>
              <w:ind w:left="534" w:hanging="283"/>
            </w:pPr>
            <w:r>
              <w:t>online discussions that you have had with your peers, tutors and invited contributors to the programme;</w:t>
            </w:r>
          </w:p>
          <w:p w14:paraId="0E88EB5E" w14:textId="77777777" w:rsidR="003E7C1A" w:rsidRDefault="003E7C1A" w:rsidP="003E7C1A">
            <w:pPr>
              <w:pStyle w:val="Default"/>
              <w:numPr>
                <w:ilvl w:val="0"/>
                <w:numId w:val="30"/>
              </w:numPr>
              <w:ind w:left="534" w:hanging="283"/>
            </w:pPr>
            <w:r>
              <w:t>oral and written reports;</w:t>
            </w:r>
          </w:p>
          <w:p w14:paraId="35BA3729" w14:textId="77777777" w:rsidR="003E7C1A" w:rsidRDefault="003E7C1A" w:rsidP="003E7C1A">
            <w:pPr>
              <w:pStyle w:val="Default"/>
              <w:numPr>
                <w:ilvl w:val="0"/>
                <w:numId w:val="30"/>
              </w:numPr>
              <w:ind w:left="534" w:hanging="283"/>
            </w:pPr>
            <w:r>
              <w:t>journals, blogs and log books;</w:t>
            </w:r>
          </w:p>
          <w:p w14:paraId="43E2FAB5" w14:textId="77777777" w:rsidR="003E7C1A" w:rsidRDefault="003E7C1A" w:rsidP="003E7C1A">
            <w:pPr>
              <w:pStyle w:val="Default"/>
              <w:numPr>
                <w:ilvl w:val="0"/>
                <w:numId w:val="30"/>
              </w:numPr>
              <w:ind w:left="534" w:hanging="283"/>
            </w:pPr>
            <w:r>
              <w:t>plans (e.g., action plans, plans for your group activities);</w:t>
            </w:r>
          </w:p>
          <w:p w14:paraId="75B8D149" w14:textId="77777777" w:rsidR="003E7C1A" w:rsidRDefault="003E7C1A" w:rsidP="003E7C1A">
            <w:pPr>
              <w:pStyle w:val="Default"/>
              <w:numPr>
                <w:ilvl w:val="0"/>
                <w:numId w:val="30"/>
              </w:numPr>
              <w:ind w:left="534" w:hanging="283"/>
            </w:pPr>
            <w:r>
              <w:t>presentations</w:t>
            </w:r>
          </w:p>
          <w:p w14:paraId="4E41CE10" w14:textId="77777777" w:rsidR="003E7C1A" w:rsidRDefault="003E7C1A" w:rsidP="003E7C1A">
            <w:pPr>
              <w:pStyle w:val="ListParagraph"/>
              <w:tabs>
                <w:tab w:val="left" w:pos="878"/>
                <w:tab w:val="left" w:pos="1238"/>
              </w:tabs>
              <w:ind w:left="158"/>
              <w:rPr>
                <w:rFonts w:cs="Calibri"/>
                <w:lang w:eastAsia="en-GB"/>
              </w:rPr>
            </w:pPr>
          </w:p>
          <w:p w14:paraId="4D8B0F0F" w14:textId="77777777" w:rsidR="003E7C1A" w:rsidRDefault="003E7C1A" w:rsidP="003E7C1A">
            <w:pPr>
              <w:pStyle w:val="Standard"/>
              <w:tabs>
                <w:tab w:val="left" w:pos="72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 written work related to assessments will be submitted via Turnitin to ensure authentication of students’ work.</w:t>
            </w:r>
          </w:p>
          <w:p w14:paraId="6ACD84B8"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tc>
      </w:tr>
    </w:tbl>
    <w:p w14:paraId="0D388E19" w14:textId="77777777" w:rsidR="002D3F2F" w:rsidRDefault="002D3F2F">
      <w:pPr>
        <w:rPr>
          <w:vanish/>
        </w:rPr>
      </w:pPr>
    </w:p>
    <w:p w14:paraId="4DB00470" w14:textId="77777777" w:rsidR="005A6D3D" w:rsidRDefault="005A6D3D">
      <w:pPr>
        <w:rPr>
          <w:vanish/>
        </w:rPr>
      </w:pPr>
    </w:p>
    <w:p w14:paraId="74A70EBB" w14:textId="77777777" w:rsidR="00234BDB" w:rsidRDefault="00234BDB">
      <w:pPr>
        <w:rPr>
          <w:vanish/>
        </w:rPr>
      </w:pPr>
    </w:p>
    <w:p w14:paraId="47ED182A" w14:textId="77777777" w:rsidR="00234BDB" w:rsidRDefault="00234BDB">
      <w:pPr>
        <w:rPr>
          <w:vanish/>
        </w:rPr>
      </w:pPr>
    </w:p>
    <w:p w14:paraId="6DC4E363" w14:textId="77777777" w:rsidR="00234BDB" w:rsidRDefault="00234BDB">
      <w:pPr>
        <w:rPr>
          <w:vanish/>
        </w:rPr>
      </w:pPr>
    </w:p>
    <w:p w14:paraId="35544EE4" w14:textId="77777777" w:rsidR="005A6D3D" w:rsidRDefault="005A6D3D">
      <w:pPr>
        <w:rPr>
          <w:vanish/>
        </w:rPr>
      </w:pPr>
    </w:p>
    <w:p w14:paraId="7E635977" w14:textId="77777777" w:rsidR="005A6D3D" w:rsidRDefault="005A6D3D">
      <w:pPr>
        <w:rPr>
          <w:vanish/>
        </w:rPr>
        <w:sectPr w:rsidR="005A6D3D" w:rsidSect="005A6D3D">
          <w:headerReference w:type="default" r:id="rId12"/>
          <w:footerReference w:type="default" r:id="rId13"/>
          <w:pgSz w:w="11906" w:h="16838"/>
          <w:pgMar w:top="763" w:right="720" w:bottom="763" w:left="720" w:header="706" w:footer="706" w:gutter="0"/>
          <w:cols w:space="720"/>
          <w:docGrid w:linePitch="299"/>
        </w:sectPr>
      </w:pPr>
    </w:p>
    <w:p w14:paraId="446C25DD" w14:textId="77777777" w:rsidR="005A6D3D" w:rsidRDefault="005A6D3D">
      <w:pPr>
        <w:rPr>
          <w:vanish/>
        </w:rPr>
      </w:pPr>
    </w:p>
    <w:p w14:paraId="03F55E0A" w14:textId="77777777" w:rsidR="005A6D3D" w:rsidRDefault="005A6D3D">
      <w:pPr>
        <w:rPr>
          <w:vanish/>
        </w:rPr>
      </w:pPr>
    </w:p>
    <w:p w14:paraId="7725556F" w14:textId="77777777"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sectPr w:rsidR="007805C4" w:rsidSect="005A6D3D">
          <w:pgSz w:w="16838" w:h="11906" w:orient="landscape"/>
          <w:pgMar w:top="720" w:right="763" w:bottom="720" w:left="763" w:header="706" w:footer="706" w:gutter="0"/>
          <w:cols w:space="720"/>
          <w:docGrid w:linePitch="299"/>
        </w:sectPr>
      </w:pPr>
    </w:p>
    <w:tbl>
      <w:tblPr>
        <w:tblW w:w="15449" w:type="dxa"/>
        <w:tblInd w:w="-113" w:type="dxa"/>
        <w:tblLayout w:type="fixed"/>
        <w:tblCellMar>
          <w:left w:w="10" w:type="dxa"/>
          <w:right w:w="10" w:type="dxa"/>
        </w:tblCellMar>
        <w:tblLook w:val="0000" w:firstRow="0" w:lastRow="0" w:firstColumn="0" w:lastColumn="0" w:noHBand="0" w:noVBand="0"/>
      </w:tblPr>
      <w:tblGrid>
        <w:gridCol w:w="534"/>
        <w:gridCol w:w="996"/>
        <w:gridCol w:w="2172"/>
        <w:gridCol w:w="7179"/>
        <w:gridCol w:w="1212"/>
        <w:gridCol w:w="995"/>
        <w:gridCol w:w="2353"/>
        <w:gridCol w:w="8"/>
      </w:tblGrid>
      <w:tr w:rsidR="007805C4" w14:paraId="67AC633C" w14:textId="77777777" w:rsidTr="007805C4">
        <w:tc>
          <w:tcPr>
            <w:tcW w:w="534" w:type="dxa"/>
            <w:vMerge w:val="restart"/>
            <w:tcBorders>
              <w:top w:val="single" w:sz="4" w:space="0" w:color="00000A"/>
              <w:left w:val="single" w:sz="4" w:space="0" w:color="00000A"/>
              <w:right w:val="single" w:sz="4" w:space="0" w:color="00000A"/>
            </w:tcBorders>
          </w:tcPr>
          <w:p w14:paraId="6E4B7F2E" w14:textId="77777777" w:rsidR="007805C4" w:rsidRDefault="007805C4" w:rsidP="007805C4">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17</w:t>
            </w:r>
          </w:p>
        </w:tc>
        <w:tc>
          <w:tcPr>
            <w:tcW w:w="14915"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5AEB4A" w14:textId="77777777"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Programme Units</w:t>
            </w:r>
          </w:p>
          <w:p w14:paraId="78015F27" w14:textId="77777777" w:rsidR="007805C4" w:rsidRDefault="007805C4" w:rsidP="00C64917">
            <w:pPr>
              <w:pStyle w:val="Standard"/>
              <w:tabs>
                <w:tab w:val="left" w:pos="720"/>
                <w:tab w:val="left" w:pos="1080"/>
              </w:tabs>
              <w:spacing w:after="0" w:line="240" w:lineRule="auto"/>
            </w:pPr>
          </w:p>
        </w:tc>
      </w:tr>
      <w:tr w:rsidR="007805C4" w14:paraId="218721C0" w14:textId="77777777" w:rsidTr="007805C4">
        <w:trPr>
          <w:trHeight w:val="340"/>
        </w:trPr>
        <w:tc>
          <w:tcPr>
            <w:tcW w:w="534" w:type="dxa"/>
            <w:vMerge/>
            <w:tcBorders>
              <w:left w:val="single" w:sz="4" w:space="0" w:color="00000A"/>
              <w:right w:val="single" w:sz="4" w:space="0" w:color="00000A"/>
            </w:tcBorders>
            <w:shd w:val="clear" w:color="auto" w:fill="D9D9D9"/>
          </w:tcPr>
          <w:p w14:paraId="5B67EF9A" w14:textId="77777777"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pPr>
          </w:p>
        </w:tc>
        <w:tc>
          <w:tcPr>
            <w:tcW w:w="14915" w:type="dxa"/>
            <w:gridSpan w:val="7"/>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D5FDBFC" w14:textId="28EBEFE0"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Stage </w:t>
            </w:r>
            <w:r w:rsidR="00751AA2">
              <w:rPr>
                <w:rFonts w:ascii="Arial" w:eastAsia="Times New Roman" w:hAnsi="Arial" w:cs="Arial"/>
                <w:b/>
                <w:sz w:val="24"/>
                <w:szCs w:val="24"/>
              </w:rPr>
              <w:t>1</w:t>
            </w:r>
            <w:r>
              <w:rPr>
                <w:rFonts w:ascii="Arial" w:eastAsia="Times New Roman" w:hAnsi="Arial" w:cs="Arial"/>
                <w:b/>
                <w:sz w:val="24"/>
                <w:szCs w:val="24"/>
              </w:rPr>
              <w:t xml:space="preserve"> (total 120 credits)</w:t>
            </w:r>
            <w:bookmarkStart w:id="1" w:name="OLE_LINK4"/>
            <w:bookmarkStart w:id="2" w:name="OLE_LINK3"/>
            <w:bookmarkEnd w:id="1"/>
            <w:bookmarkEnd w:id="2"/>
          </w:p>
        </w:tc>
      </w:tr>
      <w:tr w:rsidR="007805C4" w14:paraId="7CB10FAB" w14:textId="77777777" w:rsidTr="007805C4">
        <w:trPr>
          <w:gridAfter w:val="1"/>
          <w:wAfter w:w="8" w:type="dxa"/>
          <w:trHeight w:val="690"/>
        </w:trPr>
        <w:tc>
          <w:tcPr>
            <w:tcW w:w="534" w:type="dxa"/>
            <w:vMerge/>
            <w:tcBorders>
              <w:left w:val="single" w:sz="4" w:space="0" w:color="00000A"/>
              <w:right w:val="single" w:sz="4" w:space="0" w:color="00000A"/>
            </w:tcBorders>
          </w:tcPr>
          <w:p w14:paraId="58267600"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689C121"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Unit number</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DC2F4BD" w14:textId="77777777" w:rsidR="007805C4" w:rsidRDefault="007805C4" w:rsidP="00C64917">
            <w:pPr>
              <w:pStyle w:val="Standard"/>
              <w:tabs>
                <w:tab w:val="left" w:pos="720"/>
                <w:tab w:val="left" w:pos="1080"/>
              </w:tabs>
              <w:spacing w:after="0" w:line="240" w:lineRule="auto"/>
              <w:rPr>
                <w:rFonts w:ascii="Arial" w:eastAsia="Times New Roman" w:hAnsi="Arial" w:cs="Arial"/>
                <w:b/>
                <w:sz w:val="20"/>
                <w:szCs w:val="20"/>
              </w:rPr>
            </w:pPr>
            <w:r>
              <w:rPr>
                <w:rFonts w:ascii="Arial" w:eastAsia="Times New Roman" w:hAnsi="Arial" w:cs="Arial"/>
                <w:b/>
                <w:sz w:val="20"/>
                <w:szCs w:val="20"/>
              </w:rPr>
              <w:t>Pearson Code</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B33EA20"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Title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1A9A404"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Credits</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0617D9"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Level</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CDDD57"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Mandatory Core or Centre Selected Specialist Unit</w:t>
            </w:r>
          </w:p>
        </w:tc>
      </w:tr>
      <w:tr w:rsidR="007805C4" w14:paraId="036D95F0" w14:textId="77777777" w:rsidTr="007805C4">
        <w:trPr>
          <w:gridAfter w:val="1"/>
          <w:wAfter w:w="8" w:type="dxa"/>
          <w:trHeight w:val="624"/>
        </w:trPr>
        <w:tc>
          <w:tcPr>
            <w:tcW w:w="534" w:type="dxa"/>
            <w:vMerge/>
            <w:tcBorders>
              <w:left w:val="single" w:sz="4" w:space="0" w:color="00000A"/>
              <w:right w:val="single" w:sz="4" w:space="0" w:color="00000A"/>
            </w:tcBorders>
          </w:tcPr>
          <w:p w14:paraId="2FB314C0"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42FC685"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7DF9BB5"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K/615/1475</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8653BDC"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Engineering Design</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EB616DF"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9872CE"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79242D"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Core</w:t>
            </w:r>
          </w:p>
        </w:tc>
      </w:tr>
      <w:tr w:rsidR="007805C4" w14:paraId="00698646" w14:textId="77777777" w:rsidTr="007805C4">
        <w:trPr>
          <w:gridAfter w:val="1"/>
          <w:wAfter w:w="8" w:type="dxa"/>
          <w:trHeight w:val="624"/>
        </w:trPr>
        <w:tc>
          <w:tcPr>
            <w:tcW w:w="534" w:type="dxa"/>
            <w:vMerge/>
            <w:tcBorders>
              <w:left w:val="single" w:sz="4" w:space="0" w:color="00000A"/>
              <w:right w:val="single" w:sz="4" w:space="0" w:color="00000A"/>
            </w:tcBorders>
          </w:tcPr>
          <w:p w14:paraId="1E1DC586"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72F5508"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DDE0C50"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M/615/1476</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8B555E"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Engineering Maths</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56DE2D"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59634E5"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E781926"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Core</w:t>
            </w:r>
          </w:p>
        </w:tc>
      </w:tr>
      <w:tr w:rsidR="007805C4" w14:paraId="39C33C0B" w14:textId="77777777" w:rsidTr="007805C4">
        <w:trPr>
          <w:gridAfter w:val="1"/>
          <w:wAfter w:w="8" w:type="dxa"/>
          <w:trHeight w:val="624"/>
        </w:trPr>
        <w:tc>
          <w:tcPr>
            <w:tcW w:w="534" w:type="dxa"/>
            <w:vMerge/>
            <w:tcBorders>
              <w:left w:val="single" w:sz="4" w:space="0" w:color="00000A"/>
              <w:right w:val="single" w:sz="4" w:space="0" w:color="00000A"/>
            </w:tcBorders>
          </w:tcPr>
          <w:p w14:paraId="6B50D922"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A6E5EA"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8CF0DE8"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T/615/1477</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557D8F"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Engineering Science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BEAF96"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630920"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461DF61"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Core</w:t>
            </w:r>
          </w:p>
        </w:tc>
      </w:tr>
      <w:tr w:rsidR="007805C4" w14:paraId="2C07E2D4" w14:textId="77777777" w:rsidTr="007805C4">
        <w:trPr>
          <w:gridAfter w:val="1"/>
          <w:wAfter w:w="8" w:type="dxa"/>
          <w:trHeight w:val="624"/>
        </w:trPr>
        <w:tc>
          <w:tcPr>
            <w:tcW w:w="534" w:type="dxa"/>
            <w:vMerge/>
            <w:tcBorders>
              <w:left w:val="single" w:sz="4" w:space="0" w:color="00000A"/>
              <w:right w:val="single" w:sz="4" w:space="0" w:color="00000A"/>
            </w:tcBorders>
          </w:tcPr>
          <w:p w14:paraId="11E3477E"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3A69EA"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FE183C"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A/615/1478</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F4BB06"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Managing a Professional Engineering Project</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B78729"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2C8E94A"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AA9AF9"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Core</w:t>
            </w:r>
          </w:p>
        </w:tc>
      </w:tr>
      <w:tr w:rsidR="007805C4" w14:paraId="2BDA478B" w14:textId="77777777" w:rsidTr="007805C4">
        <w:trPr>
          <w:gridAfter w:val="1"/>
          <w:wAfter w:w="8" w:type="dxa"/>
          <w:trHeight w:val="624"/>
        </w:trPr>
        <w:tc>
          <w:tcPr>
            <w:tcW w:w="534" w:type="dxa"/>
            <w:vMerge/>
            <w:tcBorders>
              <w:left w:val="single" w:sz="4" w:space="0" w:color="00000A"/>
              <w:right w:val="single" w:sz="4" w:space="0" w:color="00000A"/>
            </w:tcBorders>
          </w:tcPr>
          <w:p w14:paraId="4595A47A"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8D3A9E9"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B2A19AD"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sidRPr="0084159E">
              <w:rPr>
                <w:rFonts w:ascii="Arial" w:hAnsi="Arial" w:cs="Verdana-Bold"/>
                <w:bCs/>
                <w:sz w:val="24"/>
                <w:szCs w:val="24"/>
              </w:rPr>
              <w:t>D/615/1487</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27C701" w14:textId="77777777" w:rsidR="007805C4" w:rsidRDefault="007805C4" w:rsidP="00C64917">
            <w:pPr>
              <w:pStyle w:val="Standard"/>
              <w:tabs>
                <w:tab w:val="left" w:pos="720"/>
                <w:tab w:val="left" w:pos="1080"/>
              </w:tabs>
              <w:spacing w:after="0"/>
              <w:rPr>
                <w:rFonts w:ascii="Arial" w:eastAsia="Times New Roman" w:hAnsi="Arial" w:cs="Arial"/>
                <w:sz w:val="24"/>
                <w:szCs w:val="24"/>
              </w:rPr>
            </w:pPr>
            <w:r w:rsidRPr="0084159E">
              <w:rPr>
                <w:rFonts w:ascii="Arial" w:eastAsia="Times New Roman" w:hAnsi="Arial" w:cs="Arial"/>
                <w:sz w:val="24"/>
                <w:szCs w:val="24"/>
              </w:rPr>
              <w:t>Fundamentals of</w:t>
            </w:r>
            <w:r>
              <w:rPr>
                <w:rFonts w:ascii="Arial" w:eastAsia="Times New Roman" w:hAnsi="Arial" w:cs="Arial"/>
                <w:sz w:val="24"/>
                <w:szCs w:val="24"/>
              </w:rPr>
              <w:t xml:space="preserve"> </w:t>
            </w:r>
            <w:r w:rsidRPr="0084159E">
              <w:rPr>
                <w:rFonts w:ascii="Arial" w:eastAsia="Times New Roman" w:hAnsi="Arial" w:cs="Arial"/>
                <w:sz w:val="24"/>
                <w:szCs w:val="24"/>
              </w:rPr>
              <w:t>Thermodynamics and Heat</w:t>
            </w:r>
            <w:r>
              <w:rPr>
                <w:rFonts w:ascii="Arial" w:eastAsia="Times New Roman" w:hAnsi="Arial" w:cs="Arial"/>
                <w:sz w:val="24"/>
                <w:szCs w:val="24"/>
              </w:rPr>
              <w:t xml:space="preserve"> </w:t>
            </w:r>
            <w:r w:rsidRPr="0084159E">
              <w:rPr>
                <w:rFonts w:ascii="Arial" w:eastAsia="Times New Roman" w:hAnsi="Arial" w:cs="Arial"/>
                <w:sz w:val="24"/>
                <w:szCs w:val="24"/>
              </w:rPr>
              <w:t>Engines</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60A644E"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7B6D03D"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5F8E13"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Centre Selected Specialist Unit</w:t>
            </w:r>
          </w:p>
        </w:tc>
      </w:tr>
      <w:tr w:rsidR="007805C4" w14:paraId="32DCE84F" w14:textId="77777777" w:rsidTr="007805C4">
        <w:trPr>
          <w:gridAfter w:val="1"/>
          <w:wAfter w:w="8" w:type="dxa"/>
          <w:trHeight w:val="624"/>
        </w:trPr>
        <w:tc>
          <w:tcPr>
            <w:tcW w:w="534" w:type="dxa"/>
            <w:vMerge/>
            <w:tcBorders>
              <w:left w:val="single" w:sz="4" w:space="0" w:color="00000A"/>
              <w:right w:val="single" w:sz="4" w:space="0" w:color="00000A"/>
            </w:tcBorders>
          </w:tcPr>
          <w:p w14:paraId="6FF774C3"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4751CF"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1A1424"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sidRPr="0084159E">
              <w:rPr>
                <w:rFonts w:ascii="Arial" w:hAnsi="Arial" w:cs="Verdana-Bold"/>
                <w:bCs/>
                <w:sz w:val="24"/>
                <w:szCs w:val="24"/>
              </w:rPr>
              <w:t>H/615/1491</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D838DC9"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sidRPr="0084159E">
              <w:rPr>
                <w:rFonts w:ascii="Arial" w:eastAsia="Times New Roman" w:hAnsi="Arial" w:cs="Arial"/>
                <w:sz w:val="24"/>
                <w:szCs w:val="24"/>
              </w:rPr>
              <w:t>Quality and Process Improvement</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E3274B"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6748D4"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061CC07"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Centre Selected Specialist Unit</w:t>
            </w:r>
          </w:p>
        </w:tc>
      </w:tr>
      <w:tr w:rsidR="007805C4" w14:paraId="78D59269" w14:textId="77777777" w:rsidTr="007805C4">
        <w:trPr>
          <w:gridAfter w:val="1"/>
          <w:wAfter w:w="8" w:type="dxa"/>
          <w:trHeight w:val="624"/>
        </w:trPr>
        <w:tc>
          <w:tcPr>
            <w:tcW w:w="534" w:type="dxa"/>
            <w:vMerge/>
            <w:tcBorders>
              <w:left w:val="single" w:sz="4" w:space="0" w:color="00000A"/>
              <w:right w:val="single" w:sz="4" w:space="0" w:color="00000A"/>
            </w:tcBorders>
          </w:tcPr>
          <w:p w14:paraId="5FC8E847"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983D3DE"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163D0F4"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M/615/1493</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53EA4C"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Electrical and Electronic Principles</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502E4A"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0CAE11"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37E8C35"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Specialist Unit</w:t>
            </w:r>
          </w:p>
        </w:tc>
      </w:tr>
      <w:tr w:rsidR="007805C4" w14:paraId="62BEDAA0" w14:textId="77777777" w:rsidTr="007805C4">
        <w:trPr>
          <w:gridAfter w:val="1"/>
          <w:wAfter w:w="8" w:type="dxa"/>
          <w:trHeight w:val="624"/>
        </w:trPr>
        <w:tc>
          <w:tcPr>
            <w:tcW w:w="534" w:type="dxa"/>
            <w:vMerge/>
            <w:tcBorders>
              <w:left w:val="single" w:sz="4" w:space="0" w:color="00000A"/>
              <w:bottom w:val="single" w:sz="4" w:space="0" w:color="00000A"/>
              <w:right w:val="single" w:sz="4" w:space="0" w:color="00000A"/>
            </w:tcBorders>
          </w:tcPr>
          <w:p w14:paraId="345EB916"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0EF4D0C"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6B86D8" w14:textId="77777777" w:rsidR="007805C4" w:rsidRDefault="007805C4" w:rsidP="00C64917">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A/615/1500</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21033B" w14:textId="77777777" w:rsidR="007805C4" w:rsidRDefault="007805C4" w:rsidP="00C64917">
            <w:pPr>
              <w:pStyle w:val="Standard"/>
              <w:tabs>
                <w:tab w:val="left" w:pos="720"/>
                <w:tab w:val="left" w:pos="1080"/>
              </w:tabs>
              <w:spacing w:after="0" w:line="240" w:lineRule="auto"/>
              <w:rPr>
                <w:rFonts w:ascii="Arial" w:eastAsia="Times New Roman" w:hAnsi="Arial" w:cs="Arial"/>
                <w:sz w:val="24"/>
                <w:szCs w:val="24"/>
              </w:rPr>
            </w:pPr>
            <w:r w:rsidRPr="00DB3FEB">
              <w:rPr>
                <w:rFonts w:ascii="Arial" w:eastAsia="Times New Roman" w:hAnsi="Arial" w:cs="Arial"/>
                <w:sz w:val="24"/>
                <w:szCs w:val="24"/>
              </w:rPr>
              <w:t>Electronic Circuits and Devices</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85C474"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ACE5DB2"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9ED6169"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Centre Selected Specialist Unit</w:t>
            </w:r>
          </w:p>
        </w:tc>
      </w:tr>
    </w:tbl>
    <w:p w14:paraId="4ED61207" w14:textId="77777777" w:rsidR="005A6D3D" w:rsidRDefault="005A6D3D">
      <w:pPr>
        <w:rPr>
          <w:vanish/>
        </w:rPr>
      </w:pPr>
    </w:p>
    <w:p w14:paraId="057E7196" w14:textId="77777777" w:rsidR="005A6D3D" w:rsidRDefault="005A6D3D">
      <w:pPr>
        <w:rPr>
          <w:vanish/>
        </w:rPr>
      </w:pPr>
    </w:p>
    <w:p w14:paraId="5ED82F34" w14:textId="77777777" w:rsidR="005A6D3D" w:rsidRDefault="005A6D3D">
      <w:pPr>
        <w:rPr>
          <w:vanish/>
        </w:rPr>
      </w:pPr>
    </w:p>
    <w:p w14:paraId="2697C212" w14:textId="77777777" w:rsidR="005A6D3D" w:rsidRDefault="005A6D3D">
      <w:pPr>
        <w:rPr>
          <w:vanish/>
        </w:rPr>
        <w:sectPr w:rsidR="005A6D3D" w:rsidSect="005A6D3D">
          <w:pgSz w:w="16838" w:h="11906" w:orient="landscape"/>
          <w:pgMar w:top="720" w:right="763" w:bottom="720" w:left="763" w:header="706" w:footer="706" w:gutter="0"/>
          <w:cols w:space="720"/>
          <w:docGrid w:linePitch="299"/>
        </w:sectPr>
      </w:pPr>
    </w:p>
    <w:p w14:paraId="26FD00C3" w14:textId="77777777" w:rsidR="005A6D3D" w:rsidRDefault="005A6D3D">
      <w:pPr>
        <w:rPr>
          <w:vanish/>
        </w:rPr>
      </w:pPr>
    </w:p>
    <w:p w14:paraId="5312F29C" w14:textId="77777777" w:rsidR="005A6D3D" w:rsidRDefault="005A6D3D">
      <w:pPr>
        <w:rPr>
          <w:vanish/>
        </w:rPr>
      </w:pPr>
    </w:p>
    <w:p w14:paraId="18F2263D" w14:textId="77777777" w:rsidR="005A6D3D" w:rsidRDefault="005A6D3D" w:rsidP="005A6D3D">
      <w:pPr>
        <w:rPr>
          <w:vanish/>
        </w:rPr>
      </w:pPr>
    </w:p>
    <w:p w14:paraId="1CB1A44A" w14:textId="77777777"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sectPr w:rsidR="007805C4" w:rsidSect="005A6D3D">
          <w:pgSz w:w="16838" w:h="11906" w:orient="landscape"/>
          <w:pgMar w:top="720" w:right="763" w:bottom="720" w:left="763" w:header="706" w:footer="706" w:gutter="0"/>
          <w:cols w:space="720"/>
          <w:docGrid w:linePitch="299"/>
        </w:sectPr>
      </w:pPr>
    </w:p>
    <w:tbl>
      <w:tblPr>
        <w:tblW w:w="15441" w:type="dxa"/>
        <w:tblInd w:w="-113" w:type="dxa"/>
        <w:tblLayout w:type="fixed"/>
        <w:tblCellMar>
          <w:left w:w="10" w:type="dxa"/>
          <w:right w:w="10" w:type="dxa"/>
        </w:tblCellMar>
        <w:tblLook w:val="0000" w:firstRow="0" w:lastRow="0" w:firstColumn="0" w:lastColumn="0" w:noHBand="0" w:noVBand="0"/>
      </w:tblPr>
      <w:tblGrid>
        <w:gridCol w:w="534"/>
        <w:gridCol w:w="996"/>
        <w:gridCol w:w="2172"/>
        <w:gridCol w:w="7179"/>
        <w:gridCol w:w="1212"/>
        <w:gridCol w:w="995"/>
        <w:gridCol w:w="2353"/>
      </w:tblGrid>
      <w:tr w:rsidR="007805C4" w14:paraId="5D91F921" w14:textId="77777777" w:rsidTr="007805C4">
        <w:tc>
          <w:tcPr>
            <w:tcW w:w="534" w:type="dxa"/>
            <w:vMerge w:val="restart"/>
            <w:tcBorders>
              <w:top w:val="single" w:sz="4" w:space="0" w:color="00000A"/>
              <w:left w:val="single" w:sz="4" w:space="0" w:color="00000A"/>
              <w:right w:val="single" w:sz="4" w:space="0" w:color="00000A"/>
            </w:tcBorders>
          </w:tcPr>
          <w:p w14:paraId="65F87236" w14:textId="3D1F5B02" w:rsidR="007805C4" w:rsidRDefault="007805C4" w:rsidP="007805C4">
            <w:pPr>
              <w:pStyle w:val="Standard"/>
              <w:tabs>
                <w:tab w:val="left" w:pos="720"/>
                <w:tab w:val="left" w:pos="1080"/>
              </w:tabs>
              <w:spacing w:after="0" w:line="240" w:lineRule="auto"/>
              <w:jc w:val="center"/>
              <w:rPr>
                <w:rFonts w:ascii="Arial" w:eastAsia="Times New Roman" w:hAnsi="Arial" w:cs="Arial"/>
                <w:b/>
                <w:sz w:val="24"/>
                <w:szCs w:val="24"/>
              </w:rPr>
            </w:pPr>
          </w:p>
        </w:tc>
        <w:tc>
          <w:tcPr>
            <w:tcW w:w="1490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427ED3" w14:textId="77777777"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Programme Units</w:t>
            </w:r>
          </w:p>
          <w:p w14:paraId="1D082C23" w14:textId="77777777" w:rsidR="007805C4" w:rsidRDefault="007805C4" w:rsidP="00C64917">
            <w:pPr>
              <w:pStyle w:val="Standard"/>
              <w:tabs>
                <w:tab w:val="left" w:pos="720"/>
                <w:tab w:val="left" w:pos="1080"/>
              </w:tabs>
              <w:spacing w:after="0" w:line="240" w:lineRule="auto"/>
            </w:pPr>
          </w:p>
        </w:tc>
      </w:tr>
      <w:tr w:rsidR="007805C4" w14:paraId="2C05E82A" w14:textId="77777777" w:rsidTr="007805C4">
        <w:trPr>
          <w:trHeight w:val="340"/>
        </w:trPr>
        <w:tc>
          <w:tcPr>
            <w:tcW w:w="534" w:type="dxa"/>
            <w:vMerge/>
            <w:tcBorders>
              <w:left w:val="single" w:sz="4" w:space="0" w:color="00000A"/>
              <w:right w:val="single" w:sz="4" w:space="0" w:color="00000A"/>
            </w:tcBorders>
            <w:shd w:val="clear" w:color="auto" w:fill="D9D9D9"/>
          </w:tcPr>
          <w:p w14:paraId="440F4C97" w14:textId="77777777"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pPr>
          </w:p>
        </w:tc>
        <w:tc>
          <w:tcPr>
            <w:tcW w:w="14907"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9FA2263" w14:textId="566459D5" w:rsidR="007805C4" w:rsidRDefault="007805C4" w:rsidP="00C6491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 xml:space="preserve">Stage </w:t>
            </w:r>
            <w:r w:rsidR="00751AA2">
              <w:rPr>
                <w:rFonts w:ascii="Arial" w:eastAsia="Times New Roman" w:hAnsi="Arial" w:cs="Arial"/>
                <w:b/>
                <w:sz w:val="24"/>
                <w:szCs w:val="24"/>
              </w:rPr>
              <w:t>2/Top-Up</w:t>
            </w:r>
            <w:r>
              <w:rPr>
                <w:rFonts w:ascii="Arial" w:eastAsia="Times New Roman" w:hAnsi="Arial" w:cs="Arial"/>
                <w:b/>
                <w:sz w:val="24"/>
                <w:szCs w:val="24"/>
              </w:rPr>
              <w:t xml:space="preserve"> (total 120 credits)</w:t>
            </w:r>
          </w:p>
        </w:tc>
      </w:tr>
      <w:tr w:rsidR="007805C4" w14:paraId="55CBB3C1" w14:textId="77777777" w:rsidTr="007805C4">
        <w:trPr>
          <w:trHeight w:val="690"/>
        </w:trPr>
        <w:tc>
          <w:tcPr>
            <w:tcW w:w="534" w:type="dxa"/>
            <w:vMerge/>
            <w:tcBorders>
              <w:left w:val="single" w:sz="4" w:space="0" w:color="00000A"/>
              <w:right w:val="single" w:sz="4" w:space="0" w:color="00000A"/>
            </w:tcBorders>
          </w:tcPr>
          <w:p w14:paraId="79A84F92"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p>
        </w:tc>
        <w:tc>
          <w:tcPr>
            <w:tcW w:w="996"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9019CB5"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Unit number</w:t>
            </w:r>
          </w:p>
        </w:tc>
        <w:tc>
          <w:tcPr>
            <w:tcW w:w="2172"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5DE5B194" w14:textId="77777777" w:rsidR="007805C4" w:rsidRDefault="007805C4" w:rsidP="00C64917">
            <w:pPr>
              <w:pStyle w:val="Standard"/>
              <w:tabs>
                <w:tab w:val="left" w:pos="720"/>
                <w:tab w:val="left" w:pos="1080"/>
              </w:tabs>
              <w:spacing w:after="0" w:line="240" w:lineRule="auto"/>
              <w:rPr>
                <w:rFonts w:ascii="Arial" w:eastAsia="Times New Roman" w:hAnsi="Arial" w:cs="Arial"/>
                <w:b/>
                <w:sz w:val="20"/>
                <w:szCs w:val="20"/>
              </w:rPr>
            </w:pPr>
            <w:r>
              <w:rPr>
                <w:rFonts w:ascii="Arial" w:eastAsia="Times New Roman" w:hAnsi="Arial" w:cs="Arial"/>
                <w:b/>
                <w:sz w:val="20"/>
                <w:szCs w:val="20"/>
              </w:rPr>
              <w:t>Pearson Code</w:t>
            </w:r>
          </w:p>
        </w:tc>
        <w:tc>
          <w:tcPr>
            <w:tcW w:w="7179"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FDA7533"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Title</w:t>
            </w:r>
          </w:p>
        </w:tc>
        <w:tc>
          <w:tcPr>
            <w:tcW w:w="1212"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0ACEF7BA"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Credits</w:t>
            </w:r>
          </w:p>
        </w:tc>
        <w:tc>
          <w:tcPr>
            <w:tcW w:w="995"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1025803"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Level</w:t>
            </w:r>
          </w:p>
        </w:tc>
        <w:tc>
          <w:tcPr>
            <w:tcW w:w="2353"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tcPr>
          <w:p w14:paraId="11F742D6" w14:textId="77777777" w:rsidR="007805C4" w:rsidRDefault="007805C4" w:rsidP="00C64917">
            <w:pPr>
              <w:pStyle w:val="Standard"/>
              <w:tabs>
                <w:tab w:val="left" w:pos="720"/>
                <w:tab w:val="left" w:pos="1080"/>
              </w:tabs>
              <w:spacing w:after="0" w:line="240" w:lineRule="auto"/>
              <w:jc w:val="center"/>
              <w:rPr>
                <w:rFonts w:ascii="Arial" w:eastAsia="Times New Roman" w:hAnsi="Arial" w:cs="Arial"/>
                <w:b/>
                <w:sz w:val="20"/>
                <w:szCs w:val="20"/>
              </w:rPr>
            </w:pPr>
            <w:r>
              <w:rPr>
                <w:rFonts w:ascii="Arial" w:eastAsia="Times New Roman" w:hAnsi="Arial" w:cs="Arial"/>
                <w:b/>
                <w:sz w:val="20"/>
                <w:szCs w:val="20"/>
              </w:rPr>
              <w:t>Mandatory Core or Centre Selected Specialist Unit</w:t>
            </w:r>
          </w:p>
        </w:tc>
      </w:tr>
      <w:tr w:rsidR="007805C4" w14:paraId="63ECEFF3" w14:textId="77777777" w:rsidTr="007805C4">
        <w:trPr>
          <w:trHeight w:val="624"/>
        </w:trPr>
        <w:tc>
          <w:tcPr>
            <w:tcW w:w="534" w:type="dxa"/>
            <w:vMerge/>
            <w:tcBorders>
              <w:left w:val="single" w:sz="4" w:space="0" w:color="00000A"/>
              <w:right w:val="single" w:sz="4" w:space="0" w:color="00000A"/>
            </w:tcBorders>
          </w:tcPr>
          <w:p w14:paraId="02BBCCCE"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9ACBE91"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c>
          <w:tcPr>
            <w:tcW w:w="2172"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17C8AC" w14:textId="77777777" w:rsidR="007805C4" w:rsidRDefault="007805C4" w:rsidP="005A6D3D">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J/615/1502</w:t>
            </w:r>
          </w:p>
        </w:tc>
        <w:tc>
          <w:tcPr>
            <w:tcW w:w="7179"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7A52F6" w14:textId="77777777" w:rsidR="007805C4" w:rsidRDefault="007805C4" w:rsidP="005A6D3D">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Research Project</w:t>
            </w:r>
          </w:p>
        </w:tc>
        <w:tc>
          <w:tcPr>
            <w:tcW w:w="1212"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CD9789"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c>
          <w:tcPr>
            <w:tcW w:w="995"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F3B3976"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E1843C6"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Core</w:t>
            </w:r>
          </w:p>
        </w:tc>
      </w:tr>
      <w:tr w:rsidR="007805C4" w14:paraId="11E6C77F" w14:textId="77777777" w:rsidTr="007805C4">
        <w:trPr>
          <w:trHeight w:val="624"/>
        </w:trPr>
        <w:tc>
          <w:tcPr>
            <w:tcW w:w="534" w:type="dxa"/>
            <w:vMerge/>
            <w:tcBorders>
              <w:left w:val="single" w:sz="4" w:space="0" w:color="00000A"/>
              <w:right w:val="single" w:sz="4" w:space="0" w:color="00000A"/>
            </w:tcBorders>
          </w:tcPr>
          <w:p w14:paraId="13BE2222"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303890"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F6A75B" w14:textId="77777777" w:rsidR="007805C4" w:rsidRDefault="007805C4" w:rsidP="005A6D3D">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L/615/1503</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7F2CFF" w14:textId="77777777" w:rsidR="007805C4" w:rsidRDefault="007805C4" w:rsidP="005A6D3D">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Professional Engineering Management</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EDF9D1"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695B632"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87B6BE3" w14:textId="77777777" w:rsidR="007805C4" w:rsidRDefault="007805C4" w:rsidP="005A6D3D">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Core</w:t>
            </w:r>
          </w:p>
        </w:tc>
      </w:tr>
      <w:tr w:rsidR="00AF458C" w14:paraId="7A079040" w14:textId="77777777" w:rsidTr="007805C4">
        <w:trPr>
          <w:trHeight w:val="624"/>
        </w:trPr>
        <w:tc>
          <w:tcPr>
            <w:tcW w:w="534" w:type="dxa"/>
            <w:vMerge/>
            <w:tcBorders>
              <w:left w:val="single" w:sz="4" w:space="0" w:color="00000A"/>
              <w:right w:val="single" w:sz="4" w:space="0" w:color="00000A"/>
            </w:tcBorders>
          </w:tcPr>
          <w:p w14:paraId="76E22525"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CB80269" w14:textId="0058ACC5"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A416DA8" w14:textId="64E8A934" w:rsidR="00AF458C" w:rsidRDefault="00AF458C" w:rsidP="00AF458C">
            <w:pPr>
              <w:pStyle w:val="Standard"/>
              <w:tabs>
                <w:tab w:val="left" w:pos="720"/>
                <w:tab w:val="left" w:pos="1080"/>
              </w:tabs>
              <w:spacing w:after="0" w:line="240" w:lineRule="auto"/>
              <w:jc w:val="center"/>
              <w:rPr>
                <w:rFonts w:ascii="Arial" w:hAnsi="Arial" w:cs="Verdana-Bold"/>
                <w:bCs/>
                <w:sz w:val="24"/>
                <w:szCs w:val="24"/>
              </w:rPr>
            </w:pPr>
            <w:r w:rsidRPr="00234BDB">
              <w:rPr>
                <w:rFonts w:ascii="Arial" w:hAnsi="Arial" w:cs="Verdana-Bold"/>
                <w:bCs/>
                <w:sz w:val="24"/>
                <w:szCs w:val="24"/>
              </w:rPr>
              <w:t>Y/615/1505</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B189501" w14:textId="4CB00D1A" w:rsidR="00AF458C" w:rsidRDefault="00AF458C" w:rsidP="00AF458C">
            <w:pPr>
              <w:pStyle w:val="Standard"/>
              <w:tabs>
                <w:tab w:val="left" w:pos="720"/>
                <w:tab w:val="left" w:pos="1080"/>
              </w:tabs>
              <w:spacing w:after="0" w:line="240" w:lineRule="auto"/>
              <w:rPr>
                <w:rFonts w:ascii="Arial" w:eastAsia="Times New Roman" w:hAnsi="Arial" w:cs="Arial"/>
                <w:sz w:val="24"/>
                <w:szCs w:val="24"/>
              </w:rPr>
            </w:pPr>
            <w:r w:rsidRPr="0050193A">
              <w:rPr>
                <w:rFonts w:ascii="Arial" w:eastAsia="Times New Roman" w:hAnsi="Arial" w:cs="Arial"/>
                <w:sz w:val="24"/>
                <w:szCs w:val="24"/>
              </w:rPr>
              <w:t>Virtual Engineering</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19326F" w14:textId="18F3852D"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6B0BBD2" w14:textId="5148C3F2"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22258E" w14:textId="6F920862"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Centre Selected Specialist Unit</w:t>
            </w:r>
          </w:p>
        </w:tc>
      </w:tr>
      <w:tr w:rsidR="00AF458C" w14:paraId="1359B6FD" w14:textId="77777777" w:rsidTr="007805C4">
        <w:trPr>
          <w:trHeight w:val="624"/>
        </w:trPr>
        <w:tc>
          <w:tcPr>
            <w:tcW w:w="534" w:type="dxa"/>
            <w:vMerge/>
            <w:tcBorders>
              <w:left w:val="single" w:sz="4" w:space="0" w:color="00000A"/>
              <w:right w:val="single" w:sz="4" w:space="0" w:color="00000A"/>
            </w:tcBorders>
          </w:tcPr>
          <w:p w14:paraId="5D80196B"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5C0640"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6879B3" w14:textId="77777777" w:rsidR="00AF458C" w:rsidRDefault="00AF458C" w:rsidP="00AF458C">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H/615/1507</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11A790" w14:textId="77777777" w:rsidR="00AF458C" w:rsidRDefault="00AF458C" w:rsidP="00AF458C">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Further Mathematics</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256097E"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B6F9DE"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B9CA45A"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Specialist Unit</w:t>
            </w:r>
          </w:p>
        </w:tc>
      </w:tr>
      <w:tr w:rsidR="00AF458C" w14:paraId="616DBD5F" w14:textId="77777777" w:rsidTr="007805C4">
        <w:trPr>
          <w:trHeight w:val="624"/>
        </w:trPr>
        <w:tc>
          <w:tcPr>
            <w:tcW w:w="534" w:type="dxa"/>
            <w:vMerge/>
            <w:tcBorders>
              <w:left w:val="single" w:sz="4" w:space="0" w:color="00000A"/>
              <w:right w:val="single" w:sz="4" w:space="0" w:color="00000A"/>
            </w:tcBorders>
          </w:tcPr>
          <w:p w14:paraId="1C496AA5"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78D00BA"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44</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61AFAC" w14:textId="77777777" w:rsidR="00AF458C" w:rsidRDefault="00AF458C" w:rsidP="00AF458C">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M/615/1512</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99D13A1" w14:textId="77777777" w:rsidR="00AF458C" w:rsidRDefault="00AF458C" w:rsidP="00AF458C">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Industrial Power, Electronics and Storage</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06DF88"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4BA284A"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A88E73"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Specialist Unit</w:t>
            </w:r>
          </w:p>
        </w:tc>
      </w:tr>
      <w:tr w:rsidR="00AF458C" w14:paraId="18778D18" w14:textId="77777777" w:rsidTr="007805C4">
        <w:trPr>
          <w:trHeight w:val="624"/>
        </w:trPr>
        <w:tc>
          <w:tcPr>
            <w:tcW w:w="534" w:type="dxa"/>
            <w:vMerge/>
            <w:tcBorders>
              <w:left w:val="single" w:sz="4" w:space="0" w:color="00000A"/>
              <w:right w:val="single" w:sz="4" w:space="0" w:color="00000A"/>
            </w:tcBorders>
          </w:tcPr>
          <w:p w14:paraId="4A06DF6B"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4B5FA05"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45</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4545BE" w14:textId="77777777" w:rsidR="00AF458C" w:rsidRDefault="00AF458C" w:rsidP="00AF458C">
            <w:pPr>
              <w:pStyle w:val="Standard"/>
              <w:tabs>
                <w:tab w:val="left" w:pos="720"/>
                <w:tab w:val="left" w:pos="1080"/>
              </w:tabs>
              <w:spacing w:after="0" w:line="240" w:lineRule="auto"/>
              <w:jc w:val="center"/>
              <w:rPr>
                <w:rFonts w:ascii="Arial" w:hAnsi="Arial" w:cs="Verdana-Bold"/>
                <w:bCs/>
                <w:sz w:val="24"/>
                <w:szCs w:val="24"/>
              </w:rPr>
            </w:pPr>
            <w:r>
              <w:rPr>
                <w:rFonts w:ascii="Arial" w:hAnsi="Arial" w:cs="Verdana-Bold"/>
                <w:bCs/>
                <w:sz w:val="24"/>
                <w:szCs w:val="24"/>
              </w:rPr>
              <w:t>T/615/1513</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915F25" w14:textId="77777777" w:rsidR="00AF458C" w:rsidRDefault="00AF458C" w:rsidP="00AF458C">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Industrial Systems</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FBCF1A"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450F48"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A68259B" w14:textId="3549D173"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Mandatory Specialist Unit</w:t>
            </w:r>
          </w:p>
        </w:tc>
      </w:tr>
      <w:tr w:rsidR="00AF458C" w14:paraId="243AB7E5" w14:textId="77777777" w:rsidTr="007805C4">
        <w:trPr>
          <w:trHeight w:val="624"/>
        </w:trPr>
        <w:tc>
          <w:tcPr>
            <w:tcW w:w="534" w:type="dxa"/>
            <w:vMerge/>
            <w:tcBorders>
              <w:left w:val="single" w:sz="4" w:space="0" w:color="00000A"/>
              <w:bottom w:val="single" w:sz="4" w:space="0" w:color="00000A"/>
              <w:right w:val="single" w:sz="4" w:space="0" w:color="00000A"/>
            </w:tcBorders>
          </w:tcPr>
          <w:p w14:paraId="3D6C86C5"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7AFE20"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51</w:t>
            </w:r>
          </w:p>
        </w:tc>
        <w:tc>
          <w:tcPr>
            <w:tcW w:w="21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73BAD7" w14:textId="77777777" w:rsidR="00AF458C" w:rsidRDefault="00AF458C" w:rsidP="00AF458C">
            <w:pPr>
              <w:pStyle w:val="Standard"/>
              <w:tabs>
                <w:tab w:val="left" w:pos="720"/>
                <w:tab w:val="left" w:pos="1080"/>
              </w:tabs>
              <w:spacing w:after="0" w:line="240" w:lineRule="auto"/>
              <w:jc w:val="center"/>
              <w:rPr>
                <w:rFonts w:ascii="Arial" w:hAnsi="Arial" w:cs="Verdana-Bold"/>
                <w:bCs/>
                <w:sz w:val="24"/>
                <w:szCs w:val="24"/>
              </w:rPr>
            </w:pPr>
            <w:r w:rsidRPr="00234BDB">
              <w:rPr>
                <w:rFonts w:ascii="Arial" w:hAnsi="Arial" w:cs="Verdana-Bold"/>
                <w:bCs/>
                <w:sz w:val="24"/>
                <w:szCs w:val="24"/>
              </w:rPr>
              <w:t>Y/615/1519</w:t>
            </w:r>
          </w:p>
        </w:tc>
        <w:tc>
          <w:tcPr>
            <w:tcW w:w="71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6D379D6" w14:textId="77777777" w:rsidR="00AF458C" w:rsidRDefault="00AF458C" w:rsidP="00AF458C">
            <w:pPr>
              <w:pStyle w:val="Standard"/>
              <w:tabs>
                <w:tab w:val="left" w:pos="720"/>
                <w:tab w:val="left" w:pos="1080"/>
              </w:tabs>
              <w:spacing w:after="0" w:line="240" w:lineRule="auto"/>
              <w:rPr>
                <w:rFonts w:ascii="Arial" w:eastAsia="Times New Roman" w:hAnsi="Arial" w:cs="Arial"/>
                <w:sz w:val="24"/>
                <w:szCs w:val="24"/>
              </w:rPr>
            </w:pPr>
            <w:r w:rsidRPr="00234BDB">
              <w:rPr>
                <w:rFonts w:ascii="Arial" w:eastAsia="Times New Roman" w:hAnsi="Arial" w:cs="Arial"/>
                <w:sz w:val="24"/>
                <w:szCs w:val="24"/>
              </w:rPr>
              <w:t>Sustainability</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F5D544"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037955"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526D5E"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Centre Selected Specialist Unit</w:t>
            </w:r>
          </w:p>
        </w:tc>
      </w:tr>
    </w:tbl>
    <w:p w14:paraId="7BAD92B2" w14:textId="77777777" w:rsidR="005A6D3D" w:rsidRDefault="005A6D3D" w:rsidP="005A6D3D">
      <w:pPr>
        <w:rPr>
          <w:vanish/>
        </w:rPr>
      </w:pPr>
    </w:p>
    <w:p w14:paraId="4CE1B3F2" w14:textId="77777777" w:rsidR="005A6D3D" w:rsidRDefault="005A6D3D">
      <w:pPr>
        <w:rPr>
          <w:vanish/>
        </w:rPr>
      </w:pPr>
    </w:p>
    <w:p w14:paraId="09C1195E" w14:textId="77777777" w:rsidR="005A6D3D" w:rsidRDefault="005A6D3D">
      <w:pPr>
        <w:rPr>
          <w:vanish/>
        </w:rPr>
      </w:pPr>
    </w:p>
    <w:p w14:paraId="4FF6E571" w14:textId="77777777" w:rsidR="005A6D3D" w:rsidRDefault="005A6D3D">
      <w:pPr>
        <w:rPr>
          <w:vanish/>
        </w:rPr>
        <w:sectPr w:rsidR="005A6D3D" w:rsidSect="005A6D3D">
          <w:pgSz w:w="16838" w:h="11906" w:orient="landscape"/>
          <w:pgMar w:top="720" w:right="763" w:bottom="720" w:left="763" w:header="706" w:footer="706" w:gutter="0"/>
          <w:cols w:space="720"/>
          <w:docGrid w:linePitch="299"/>
        </w:sectPr>
      </w:pPr>
    </w:p>
    <w:p w14:paraId="4DCD0607" w14:textId="77777777" w:rsidR="007805C4" w:rsidRDefault="007805C4">
      <w:pPr>
        <w:pStyle w:val="Standard"/>
        <w:tabs>
          <w:tab w:val="left" w:pos="720"/>
          <w:tab w:val="left" w:pos="1080"/>
        </w:tabs>
        <w:spacing w:after="0" w:line="240" w:lineRule="auto"/>
        <w:rPr>
          <w:rFonts w:ascii="Arial" w:eastAsia="Times New Roman" w:hAnsi="Arial" w:cs="Arial"/>
          <w:b/>
          <w:sz w:val="24"/>
          <w:szCs w:val="24"/>
        </w:rPr>
        <w:sectPr w:rsidR="007805C4">
          <w:headerReference w:type="default" r:id="rId14"/>
          <w:footerReference w:type="default" r:id="rId15"/>
          <w:pgSz w:w="11906" w:h="16838"/>
          <w:pgMar w:top="763" w:right="720" w:bottom="763" w:left="720" w:header="706" w:footer="706" w:gutter="0"/>
          <w:cols w:space="720"/>
        </w:sectPr>
      </w:pPr>
    </w:p>
    <w:tbl>
      <w:tblPr>
        <w:tblW w:w="10682" w:type="dxa"/>
        <w:jc w:val="center"/>
        <w:tblLayout w:type="fixed"/>
        <w:tblCellMar>
          <w:left w:w="10" w:type="dxa"/>
          <w:right w:w="10" w:type="dxa"/>
        </w:tblCellMar>
        <w:tblLook w:val="0000" w:firstRow="0" w:lastRow="0" w:firstColumn="0" w:lastColumn="0" w:noHBand="0" w:noVBand="0"/>
      </w:tblPr>
      <w:tblGrid>
        <w:gridCol w:w="588"/>
        <w:gridCol w:w="10094"/>
      </w:tblGrid>
      <w:tr w:rsidR="00414D2E" w14:paraId="07D20E2B" w14:textId="77777777" w:rsidTr="007805C4">
        <w:trPr>
          <w:trHeight w:val="1020"/>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6D1C8C" w14:textId="77777777" w:rsidR="00414D2E" w:rsidRDefault="007805C4" w:rsidP="007805C4">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18</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ED172D"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Programme Structure</w:t>
            </w:r>
          </w:p>
          <w:p w14:paraId="3B9EFDE7" w14:textId="77777777" w:rsidR="00414D2E" w:rsidRPr="00AA09CF" w:rsidRDefault="00414D2E">
            <w:pPr>
              <w:pStyle w:val="Standard"/>
              <w:tabs>
                <w:tab w:val="left" w:pos="720"/>
                <w:tab w:val="left" w:pos="1080"/>
              </w:tabs>
              <w:spacing w:after="0" w:line="240" w:lineRule="auto"/>
              <w:rPr>
                <w:rFonts w:ascii="Arial" w:eastAsia="Times New Roman" w:hAnsi="Arial" w:cs="Arial"/>
                <w:sz w:val="24"/>
                <w:szCs w:val="24"/>
              </w:rPr>
            </w:pPr>
          </w:p>
          <w:p w14:paraId="716A20BB" w14:textId="270CFA7E"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full-time HND Engineering (Electrical and Electronic Engineering) programme will be delivered over two years - all 8 units of Year/stage 1 will be delivered on two full days in semester 1 and one full day in semester 2.  The 7 units of Year/stage 2 will be delivered on one full day in semester 1 and two full days in semester 2.</w:t>
            </w:r>
          </w:p>
          <w:p w14:paraId="0F76A6AA" w14:textId="77777777"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p>
          <w:p w14:paraId="55E47DA1" w14:textId="6C0A7C54"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 xml:space="preserve">The part-time HND Engineering (Electrical and Electronic Engineering) Top-Up structure contains six </w:t>
            </w:r>
            <w:proofErr w:type="spellStart"/>
            <w:r>
              <w:rPr>
                <w:rFonts w:ascii="Arial" w:eastAsia="Times New Roman" w:hAnsi="Arial" w:cs="Arial"/>
                <w:sz w:val="24"/>
                <w:szCs w:val="24"/>
              </w:rPr>
              <w:t>semesterised</w:t>
            </w:r>
            <w:proofErr w:type="spellEnd"/>
            <w:r>
              <w:rPr>
                <w:rFonts w:ascii="Arial" w:eastAsia="Times New Roman" w:hAnsi="Arial" w:cs="Arial"/>
                <w:sz w:val="24"/>
                <w:szCs w:val="24"/>
              </w:rPr>
              <w:t xml:space="preserve"> units and one year-long unit delivered over three semesters.  In the first year of the programme, students will take two units which are taught in semester 2 (directly following completion of the HNC).  In the second year of the programme, students will take four </w:t>
            </w:r>
            <w:proofErr w:type="spellStart"/>
            <w:r>
              <w:rPr>
                <w:rFonts w:ascii="Arial" w:eastAsia="Times New Roman" w:hAnsi="Arial" w:cs="Arial"/>
                <w:sz w:val="24"/>
                <w:szCs w:val="24"/>
              </w:rPr>
              <w:t>semesterised</w:t>
            </w:r>
            <w:proofErr w:type="spellEnd"/>
            <w:r>
              <w:rPr>
                <w:rFonts w:ascii="Arial" w:eastAsia="Times New Roman" w:hAnsi="Arial" w:cs="Arial"/>
                <w:sz w:val="24"/>
                <w:szCs w:val="24"/>
              </w:rPr>
              <w:t xml:space="preserve"> units and one year-long unit.  This structure meets the needs of local industry by providing a 3 year, part-time HND qualification.</w:t>
            </w:r>
          </w:p>
          <w:p w14:paraId="39B47A55" w14:textId="77777777"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p>
          <w:p w14:paraId="5BC5D77C" w14:textId="593BA837"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 xml:space="preserve">The full-time HND Engineering (Electrical and Electronic Engineering) Top-Up structure will deliver six </w:t>
            </w:r>
            <w:proofErr w:type="spellStart"/>
            <w:r>
              <w:rPr>
                <w:rFonts w:ascii="Arial" w:eastAsia="Times New Roman" w:hAnsi="Arial" w:cs="Arial"/>
                <w:sz w:val="24"/>
                <w:szCs w:val="24"/>
              </w:rPr>
              <w:t>semesterised</w:t>
            </w:r>
            <w:proofErr w:type="spellEnd"/>
            <w:r>
              <w:rPr>
                <w:rFonts w:ascii="Arial" w:eastAsia="Times New Roman" w:hAnsi="Arial" w:cs="Arial"/>
                <w:sz w:val="24"/>
                <w:szCs w:val="24"/>
              </w:rPr>
              <w:t xml:space="preserve"> units and one year-long unit.  Delivery will take place over one full-day in semester 1 and two full days in semester 2.</w:t>
            </w:r>
          </w:p>
          <w:p w14:paraId="605AC48F" w14:textId="77777777" w:rsidR="00276563" w:rsidRDefault="00276563" w:rsidP="00C64917">
            <w:pPr>
              <w:pStyle w:val="Standard"/>
              <w:tabs>
                <w:tab w:val="left" w:pos="720"/>
                <w:tab w:val="left" w:pos="1080"/>
              </w:tabs>
              <w:spacing w:after="0" w:line="240" w:lineRule="auto"/>
              <w:rPr>
                <w:rFonts w:ascii="Arial" w:eastAsia="Times New Roman" w:hAnsi="Arial" w:cs="Arial"/>
                <w:sz w:val="24"/>
                <w:szCs w:val="24"/>
              </w:rPr>
            </w:pPr>
          </w:p>
          <w:p w14:paraId="468DCB94" w14:textId="77777777" w:rsidR="00276563" w:rsidRPr="00276563" w:rsidRDefault="00276563" w:rsidP="00276563">
            <w:pPr>
              <w:pStyle w:val="Standard"/>
              <w:tabs>
                <w:tab w:val="left" w:pos="720"/>
                <w:tab w:val="left" w:pos="1080"/>
              </w:tabs>
              <w:spacing w:after="0" w:line="240" w:lineRule="auto"/>
              <w:rPr>
                <w:rFonts w:ascii="Arial" w:eastAsia="Times New Roman" w:hAnsi="Arial" w:cs="Arial"/>
                <w:sz w:val="24"/>
                <w:szCs w:val="24"/>
              </w:rPr>
            </w:pPr>
            <w:r w:rsidRPr="00276563">
              <w:rPr>
                <w:rFonts w:ascii="Arial" w:eastAsia="Times New Roman" w:hAnsi="Arial" w:cs="Arial"/>
                <w:sz w:val="24"/>
                <w:szCs w:val="24"/>
              </w:rPr>
              <w:t>The units are sequenced to provide students with a coherent learning experience which will satisfy the programme aims and outcomes and enhance student retention.  The structure will also ensure a practicable, even spread of student assessments throughout the academic year.</w:t>
            </w:r>
          </w:p>
          <w:p w14:paraId="48C7CF5F" w14:textId="77777777" w:rsidR="00276563" w:rsidRPr="00276563" w:rsidRDefault="00276563" w:rsidP="00276563">
            <w:pPr>
              <w:pStyle w:val="Standard"/>
              <w:tabs>
                <w:tab w:val="left" w:pos="720"/>
                <w:tab w:val="left" w:pos="1080"/>
              </w:tabs>
              <w:spacing w:after="0" w:line="240" w:lineRule="auto"/>
              <w:rPr>
                <w:rFonts w:ascii="Arial" w:eastAsia="Times New Roman" w:hAnsi="Arial" w:cs="Arial"/>
                <w:sz w:val="24"/>
                <w:szCs w:val="24"/>
              </w:rPr>
            </w:pPr>
          </w:p>
          <w:p w14:paraId="346B4ADA" w14:textId="37D823E8"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r w:rsidRPr="00276563">
              <w:rPr>
                <w:rFonts w:ascii="Arial" w:eastAsia="Times New Roman" w:hAnsi="Arial" w:cs="Arial"/>
                <w:sz w:val="24"/>
                <w:szCs w:val="24"/>
              </w:rPr>
              <w:t>The units on this programme have been designed from a learning time perspective.  For example, a 15-credit point unit is equivalent to approximately 150 learning hours, of which 60 hours will be guided learning hours (i.e. when your tutor is present in a lecture or workshop)</w:t>
            </w:r>
            <w:r>
              <w:rPr>
                <w:rFonts w:ascii="Arial" w:eastAsia="Times New Roman" w:hAnsi="Arial" w:cs="Arial"/>
                <w:sz w:val="24"/>
                <w:szCs w:val="24"/>
              </w:rPr>
              <w:t>.</w:t>
            </w:r>
          </w:p>
          <w:p w14:paraId="79E643BC" w14:textId="77777777" w:rsidR="00276563" w:rsidRPr="00276563" w:rsidRDefault="00276563" w:rsidP="00276563">
            <w:pPr>
              <w:pStyle w:val="Standard"/>
              <w:tabs>
                <w:tab w:val="left" w:pos="720"/>
                <w:tab w:val="left" w:pos="1080"/>
              </w:tabs>
              <w:spacing w:after="0" w:line="240" w:lineRule="auto"/>
              <w:rPr>
                <w:rFonts w:ascii="Arial" w:eastAsia="Times New Roman" w:hAnsi="Arial" w:cs="Arial"/>
                <w:sz w:val="24"/>
                <w:szCs w:val="24"/>
              </w:rPr>
            </w:pPr>
          </w:p>
          <w:p w14:paraId="74C4732C" w14:textId="72BBD5C7" w:rsidR="00276563" w:rsidRDefault="00276563" w:rsidP="00276563">
            <w:pPr>
              <w:pStyle w:val="Standard"/>
              <w:tabs>
                <w:tab w:val="left" w:pos="720"/>
                <w:tab w:val="left" w:pos="1080"/>
              </w:tabs>
              <w:spacing w:after="0" w:line="240" w:lineRule="auto"/>
              <w:rPr>
                <w:rFonts w:ascii="Arial" w:eastAsia="Times New Roman" w:hAnsi="Arial" w:cs="Arial"/>
                <w:sz w:val="24"/>
                <w:szCs w:val="24"/>
              </w:rPr>
            </w:pPr>
            <w:r w:rsidRPr="00276563">
              <w:rPr>
                <w:rFonts w:ascii="Arial" w:eastAsia="Times New Roman" w:hAnsi="Arial" w:cs="Arial"/>
                <w:sz w:val="24"/>
                <w:szCs w:val="24"/>
              </w:rPr>
              <w:t>The HND Top-Up programme has a total value of 120 credits and is equivalent to approximately 1200 hours total learning time (TLT).  Within this learning time - which is time taken by students to complete the learning outcomes of each unit determined by the assessment criteria - there are Guided Learning Hours (GLHs).  These are defined as time when your tutor is present and giving specific guidance (e.g.: lectures, tutorials, workshops).</w:t>
            </w:r>
            <w:r>
              <w:rPr>
                <w:rFonts w:ascii="Arial" w:eastAsia="Times New Roman" w:hAnsi="Arial" w:cs="Arial"/>
                <w:sz w:val="24"/>
                <w:szCs w:val="24"/>
              </w:rPr>
              <w:t xml:space="preserve">  </w:t>
            </w:r>
            <w:r w:rsidRPr="00276563">
              <w:rPr>
                <w:rFonts w:ascii="Arial" w:eastAsia="Times New Roman" w:hAnsi="Arial" w:cs="Arial"/>
                <w:sz w:val="24"/>
                <w:szCs w:val="24"/>
              </w:rPr>
              <w:t>On this programme, there are approximately 480 GLHs.</w:t>
            </w:r>
          </w:p>
          <w:p w14:paraId="6B365E28" w14:textId="328A5F2A" w:rsidR="0062324D" w:rsidRDefault="0062324D">
            <w:pPr>
              <w:pStyle w:val="Standard"/>
              <w:tabs>
                <w:tab w:val="left" w:pos="720"/>
                <w:tab w:val="left" w:pos="1080"/>
              </w:tabs>
              <w:spacing w:after="0" w:line="240" w:lineRule="auto"/>
              <w:rPr>
                <w:rFonts w:ascii="Arial" w:eastAsia="Times New Roman" w:hAnsi="Arial" w:cs="Arial"/>
                <w:sz w:val="24"/>
                <w:szCs w:val="24"/>
              </w:rPr>
            </w:pPr>
          </w:p>
          <w:p w14:paraId="04BB800D" w14:textId="531F1D4B" w:rsidR="002D63B5" w:rsidRPr="000B7F0C" w:rsidRDefault="002D63B5" w:rsidP="002D63B5">
            <w:pPr>
              <w:pStyle w:val="Heading2"/>
              <w:spacing w:before="0"/>
              <w:rPr>
                <w:rFonts w:ascii="Arial" w:hAnsi="Arial"/>
                <w:b/>
                <w:color w:val="auto"/>
                <w:sz w:val="24"/>
                <w:szCs w:val="24"/>
              </w:rPr>
            </w:pPr>
            <w:r w:rsidRPr="000B7F0C">
              <w:rPr>
                <w:rFonts w:ascii="Arial" w:hAnsi="Arial"/>
                <w:b/>
                <w:color w:val="auto"/>
                <w:sz w:val="24"/>
                <w:szCs w:val="24"/>
              </w:rPr>
              <w:t>H</w:t>
            </w:r>
            <w:r>
              <w:rPr>
                <w:rFonts w:ascii="Arial" w:hAnsi="Arial"/>
                <w:b/>
                <w:color w:val="auto"/>
                <w:sz w:val="24"/>
                <w:szCs w:val="24"/>
              </w:rPr>
              <w:t>ND</w:t>
            </w:r>
            <w:r w:rsidRPr="000B7F0C">
              <w:rPr>
                <w:rFonts w:ascii="Arial" w:hAnsi="Arial"/>
                <w:b/>
                <w:color w:val="auto"/>
                <w:sz w:val="24"/>
                <w:szCs w:val="24"/>
              </w:rPr>
              <w:t xml:space="preserve"> Engineering (Electrical and Electronic Engineering) </w:t>
            </w:r>
            <w:r>
              <w:rPr>
                <w:rFonts w:ascii="Arial" w:hAnsi="Arial"/>
                <w:b/>
                <w:color w:val="auto"/>
                <w:sz w:val="24"/>
                <w:szCs w:val="24"/>
              </w:rPr>
              <w:t xml:space="preserve">- </w:t>
            </w:r>
            <w:r w:rsidRPr="000B7F0C">
              <w:rPr>
                <w:rFonts w:ascii="Arial" w:hAnsi="Arial"/>
                <w:b/>
                <w:color w:val="auto"/>
                <w:sz w:val="24"/>
                <w:szCs w:val="24"/>
              </w:rPr>
              <w:t>Full-Time</w:t>
            </w:r>
          </w:p>
          <w:p w14:paraId="4BA32D54" w14:textId="77777777" w:rsidR="00276563" w:rsidRDefault="00276563" w:rsidP="00276563">
            <w:pPr>
              <w:rPr>
                <w:rFonts w:ascii="Arial" w:hAnsi="Arial" w:cs="Arial"/>
                <w:sz w:val="12"/>
                <w:szCs w:val="12"/>
                <w:lang w:eastAsia="en-US"/>
              </w:rPr>
            </w:pPr>
          </w:p>
          <w:tbl>
            <w:tblPr>
              <w:tblW w:w="9870" w:type="dxa"/>
              <w:tblLayout w:type="fixed"/>
              <w:tblCellMar>
                <w:left w:w="10" w:type="dxa"/>
                <w:right w:w="10" w:type="dxa"/>
              </w:tblCellMar>
              <w:tblLook w:val="04A0" w:firstRow="1" w:lastRow="0" w:firstColumn="1" w:lastColumn="0" w:noHBand="0" w:noVBand="1"/>
            </w:tblPr>
            <w:tblGrid>
              <w:gridCol w:w="4936"/>
              <w:gridCol w:w="4934"/>
            </w:tblGrid>
            <w:tr w:rsidR="00276563" w14:paraId="29A86A37" w14:textId="77777777" w:rsidTr="00276563">
              <w:trPr>
                <w:trHeight w:val="38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hideMark/>
                </w:tcPr>
                <w:p w14:paraId="4E0ED258" w14:textId="7892D351" w:rsidR="00276563" w:rsidRDefault="00276563" w:rsidP="00276563">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Full</w:t>
                  </w:r>
                  <w:r w:rsidR="00AF458C">
                    <w:rPr>
                      <w:rFonts w:ascii="Arial" w:eastAsia="Times New Roman" w:hAnsi="Arial" w:cs="Arial"/>
                      <w:b/>
                      <w:sz w:val="24"/>
                      <w:szCs w:val="24"/>
                    </w:rPr>
                    <w:t>-t</w:t>
                  </w:r>
                  <w:r>
                    <w:rPr>
                      <w:rFonts w:ascii="Arial" w:eastAsia="Times New Roman" w:hAnsi="Arial" w:cs="Arial"/>
                      <w:b/>
                      <w:sz w:val="24"/>
                      <w:szCs w:val="24"/>
                    </w:rPr>
                    <w:t>ime - Year 1</w:t>
                  </w:r>
                </w:p>
              </w:tc>
            </w:tr>
            <w:tr w:rsidR="00276563" w14:paraId="49AF4345" w14:textId="77777777" w:rsidTr="00276563">
              <w:trPr>
                <w:trHeight w:val="380"/>
              </w:trPr>
              <w:tc>
                <w:tcPr>
                  <w:tcW w:w="49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3CFF7734"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1</w:t>
                  </w:r>
                </w:p>
              </w:tc>
              <w:tc>
                <w:tcPr>
                  <w:tcW w:w="49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2F8CDAB6"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2</w:t>
                  </w:r>
                </w:p>
              </w:tc>
            </w:tr>
            <w:tr w:rsidR="00276563" w14:paraId="4122D5A5"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3B48F06"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2: Engineering Maths</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0DFB4AB"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1: Engineering Design</w:t>
                  </w:r>
                </w:p>
              </w:tc>
            </w:tr>
            <w:tr w:rsidR="00276563" w14:paraId="64EEFB0C"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06AE664"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 Engineering Science</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0158728" w14:textId="516C7826"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Unit 22: </w:t>
                  </w:r>
                  <w:r w:rsidR="00AF458C" w:rsidRPr="00DB3FEB">
                    <w:rPr>
                      <w:rFonts w:ascii="Arial" w:eastAsia="Times New Roman" w:hAnsi="Arial" w:cs="Arial"/>
                      <w:sz w:val="24"/>
                      <w:szCs w:val="24"/>
                    </w:rPr>
                    <w:t>Electronic Circuits and Devices</w:t>
                  </w:r>
                </w:p>
              </w:tc>
            </w:tr>
            <w:tr w:rsidR="00276563" w14:paraId="5DF9E487"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F21DC51"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13: Fundamentals of Thermodynamics and Heat Engines</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0DEAEB"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p>
              </w:tc>
            </w:tr>
            <w:tr w:rsidR="00276563" w14:paraId="61DC9D54"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6C100DC" w14:textId="3E91072E"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17</w:t>
                  </w:r>
                  <w:r w:rsidR="00AF458C">
                    <w:rPr>
                      <w:rFonts w:ascii="Arial" w:eastAsia="Times New Roman" w:hAnsi="Arial" w:cs="Arial"/>
                      <w:sz w:val="24"/>
                      <w:szCs w:val="24"/>
                    </w:rPr>
                    <w:t>:</w:t>
                  </w:r>
                  <w:r>
                    <w:rPr>
                      <w:rFonts w:ascii="Arial" w:eastAsia="Times New Roman" w:hAnsi="Arial" w:cs="Arial"/>
                      <w:sz w:val="24"/>
                      <w:szCs w:val="24"/>
                    </w:rPr>
                    <w:t xml:space="preserve"> Quality and Process Improvement</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4ACE64"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p>
              </w:tc>
            </w:tr>
            <w:tr w:rsidR="00276563" w14:paraId="0469284C"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78C98E6"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19: Electrical and Electronic Principles</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D29349"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p>
              </w:tc>
            </w:tr>
            <w:tr w:rsidR="00276563" w14:paraId="76392D56" w14:textId="77777777" w:rsidTr="00AF458C">
              <w:trPr>
                <w:trHeight w:val="51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13B97BE" w14:textId="77777777" w:rsidR="00276563" w:rsidRDefault="00276563" w:rsidP="00276563">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 Managing a Professional Engineering Project</w:t>
                  </w:r>
                </w:p>
              </w:tc>
            </w:tr>
          </w:tbl>
          <w:p w14:paraId="0A8D29DE" w14:textId="77777777" w:rsidR="00276563" w:rsidRDefault="00276563" w:rsidP="00276563">
            <w:pPr>
              <w:rPr>
                <w:rFonts w:ascii="Arial" w:hAnsi="Arial" w:cs="Arial"/>
                <w:sz w:val="12"/>
                <w:szCs w:val="12"/>
                <w:lang w:eastAsia="en-US"/>
              </w:rPr>
            </w:pPr>
          </w:p>
          <w:p w14:paraId="648BD33B" w14:textId="77777777" w:rsidR="00276563" w:rsidRDefault="00276563" w:rsidP="00276563">
            <w:pPr>
              <w:rPr>
                <w:rFonts w:ascii="Arial" w:hAnsi="Arial" w:cs="Arial"/>
                <w:sz w:val="12"/>
                <w:szCs w:val="12"/>
                <w:lang w:eastAsia="en-US"/>
              </w:rPr>
            </w:pPr>
          </w:p>
          <w:p w14:paraId="2809132E" w14:textId="7F31899A" w:rsidR="00276563" w:rsidRDefault="00276563" w:rsidP="002D63B5">
            <w:pPr>
              <w:rPr>
                <w:rFonts w:ascii="Arial" w:hAnsi="Arial" w:cs="Arial"/>
                <w:sz w:val="12"/>
                <w:szCs w:val="12"/>
                <w:lang w:eastAsia="en-US"/>
              </w:rPr>
            </w:pPr>
          </w:p>
          <w:p w14:paraId="5CA44E76" w14:textId="2662D99D" w:rsidR="00276563" w:rsidRDefault="00276563" w:rsidP="002D63B5">
            <w:pPr>
              <w:rPr>
                <w:rFonts w:ascii="Arial" w:hAnsi="Arial" w:cs="Arial"/>
                <w:sz w:val="12"/>
                <w:szCs w:val="12"/>
                <w:lang w:eastAsia="en-US"/>
              </w:rPr>
            </w:pPr>
          </w:p>
          <w:tbl>
            <w:tblPr>
              <w:tblW w:w="9870" w:type="dxa"/>
              <w:tblLayout w:type="fixed"/>
              <w:tblCellMar>
                <w:left w:w="10" w:type="dxa"/>
                <w:right w:w="10" w:type="dxa"/>
              </w:tblCellMar>
              <w:tblLook w:val="04A0" w:firstRow="1" w:lastRow="0" w:firstColumn="1" w:lastColumn="0" w:noHBand="0" w:noVBand="1"/>
            </w:tblPr>
            <w:tblGrid>
              <w:gridCol w:w="4934"/>
              <w:gridCol w:w="4936"/>
            </w:tblGrid>
            <w:tr w:rsidR="00AF458C" w14:paraId="6E2DE5D6" w14:textId="77777777" w:rsidTr="00AF458C">
              <w:trPr>
                <w:trHeight w:val="397"/>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hideMark/>
                </w:tcPr>
                <w:p w14:paraId="100014E2"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Full-time - Year 2</w:t>
                  </w:r>
                </w:p>
              </w:tc>
            </w:tr>
            <w:tr w:rsidR="00AF458C" w14:paraId="109CE371" w14:textId="77777777" w:rsidTr="00AF458C">
              <w:trPr>
                <w:trHeight w:val="397"/>
              </w:trPr>
              <w:tc>
                <w:tcPr>
                  <w:tcW w:w="49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71D7245F"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1</w:t>
                  </w:r>
                </w:p>
              </w:tc>
              <w:tc>
                <w:tcPr>
                  <w:tcW w:w="4934"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659B446C"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2</w:t>
                  </w:r>
                </w:p>
              </w:tc>
            </w:tr>
            <w:tr w:rsidR="00AF458C" w14:paraId="703D2CDC"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DCE115B"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37: Virtual Engineering</w:t>
                  </w: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7CCFD0"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35: Professional Engineering Management</w:t>
                  </w:r>
                </w:p>
              </w:tc>
            </w:tr>
            <w:tr w:rsidR="00AF458C" w14:paraId="306C8E76"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5EEED01"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39: Further Mathematics</w:t>
                  </w: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17D5B5D"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44: Industrial Power, Electronics</w:t>
                  </w:r>
                </w:p>
                <w:p w14:paraId="6A072D95" w14:textId="690BB721"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and Storage</w:t>
                  </w:r>
                </w:p>
              </w:tc>
            </w:tr>
            <w:tr w:rsidR="00AF458C" w14:paraId="39F4F2B9"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21CD5"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38FAA9"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45: Industrial Systems</w:t>
                  </w:r>
                </w:p>
              </w:tc>
            </w:tr>
            <w:tr w:rsidR="00AF458C" w14:paraId="6708C5E8"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106812"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752B3E"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51: Sustainability</w:t>
                  </w:r>
                </w:p>
              </w:tc>
            </w:tr>
            <w:tr w:rsidR="00AF458C" w14:paraId="6CAEAA2C" w14:textId="77777777" w:rsidTr="00AF458C">
              <w:trPr>
                <w:trHeight w:val="51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69D540F"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34: Research Project</w:t>
                  </w:r>
                </w:p>
              </w:tc>
            </w:tr>
          </w:tbl>
          <w:p w14:paraId="39432038" w14:textId="5F37E96C" w:rsidR="00276563" w:rsidRDefault="00276563" w:rsidP="002D63B5">
            <w:pPr>
              <w:rPr>
                <w:rFonts w:ascii="Arial" w:hAnsi="Arial" w:cs="Arial"/>
                <w:sz w:val="12"/>
                <w:szCs w:val="12"/>
                <w:lang w:eastAsia="en-US"/>
              </w:rPr>
            </w:pPr>
          </w:p>
          <w:p w14:paraId="7F02AF58" w14:textId="250DBE61" w:rsidR="00276563" w:rsidRDefault="00276563" w:rsidP="002D63B5">
            <w:pPr>
              <w:rPr>
                <w:rFonts w:ascii="Arial" w:hAnsi="Arial" w:cs="Arial"/>
                <w:sz w:val="12"/>
                <w:szCs w:val="12"/>
                <w:lang w:eastAsia="en-US"/>
              </w:rPr>
            </w:pPr>
          </w:p>
          <w:p w14:paraId="1FC71EE4" w14:textId="77777777" w:rsidR="0062324D" w:rsidRPr="0027381F" w:rsidRDefault="0062324D" w:rsidP="0062324D">
            <w:pPr>
              <w:pStyle w:val="Heading2"/>
              <w:rPr>
                <w:rFonts w:ascii="Arial" w:hAnsi="Arial" w:cs="Arial"/>
                <w:b/>
                <w:color w:val="auto"/>
                <w:sz w:val="24"/>
                <w:szCs w:val="24"/>
              </w:rPr>
            </w:pPr>
            <w:r w:rsidRPr="0027381F">
              <w:rPr>
                <w:rFonts w:ascii="Arial" w:hAnsi="Arial" w:cs="Arial"/>
                <w:b/>
                <w:color w:val="auto"/>
                <w:sz w:val="24"/>
                <w:szCs w:val="24"/>
              </w:rPr>
              <w:t>HN</w:t>
            </w:r>
            <w:r>
              <w:rPr>
                <w:rFonts w:ascii="Arial" w:hAnsi="Arial" w:cs="Arial"/>
                <w:b/>
                <w:color w:val="auto"/>
                <w:sz w:val="24"/>
                <w:szCs w:val="24"/>
              </w:rPr>
              <w:t>D</w:t>
            </w:r>
            <w:r w:rsidRPr="0027381F">
              <w:rPr>
                <w:rFonts w:ascii="Arial" w:hAnsi="Arial" w:cs="Arial"/>
                <w:b/>
                <w:color w:val="auto"/>
                <w:sz w:val="24"/>
                <w:szCs w:val="24"/>
              </w:rPr>
              <w:t xml:space="preserve"> Engineering (Electrical and Electronic Engineering) </w:t>
            </w:r>
            <w:r>
              <w:rPr>
                <w:rFonts w:ascii="Arial" w:hAnsi="Arial" w:cs="Arial"/>
                <w:b/>
                <w:color w:val="auto"/>
                <w:sz w:val="24"/>
                <w:szCs w:val="24"/>
              </w:rPr>
              <w:t xml:space="preserve">Top-Up - </w:t>
            </w:r>
            <w:r w:rsidRPr="0027381F">
              <w:rPr>
                <w:rFonts w:ascii="Arial" w:hAnsi="Arial" w:cs="Arial"/>
                <w:b/>
                <w:color w:val="auto"/>
                <w:sz w:val="24"/>
                <w:szCs w:val="24"/>
              </w:rPr>
              <w:t>Part-Time</w:t>
            </w:r>
          </w:p>
          <w:p w14:paraId="34F8DC22" w14:textId="4C1580E9" w:rsidR="0062324D" w:rsidRDefault="0062324D" w:rsidP="0062324D">
            <w:pPr>
              <w:rPr>
                <w:rFonts w:ascii="Arial" w:hAnsi="Arial" w:cs="Arial"/>
                <w:sz w:val="12"/>
                <w:szCs w:val="12"/>
                <w:lang w:eastAsia="en-US"/>
              </w:rPr>
            </w:pPr>
          </w:p>
          <w:tbl>
            <w:tblPr>
              <w:tblW w:w="9870" w:type="dxa"/>
              <w:tblLayout w:type="fixed"/>
              <w:tblCellMar>
                <w:left w:w="10" w:type="dxa"/>
                <w:right w:w="10" w:type="dxa"/>
              </w:tblCellMar>
              <w:tblLook w:val="04A0" w:firstRow="1" w:lastRow="0" w:firstColumn="1" w:lastColumn="0" w:noHBand="0" w:noVBand="1"/>
            </w:tblPr>
            <w:tblGrid>
              <w:gridCol w:w="4936"/>
              <w:gridCol w:w="4934"/>
            </w:tblGrid>
            <w:tr w:rsidR="00AF458C" w14:paraId="228283EC" w14:textId="77777777" w:rsidTr="00AF458C">
              <w:trPr>
                <w:trHeight w:val="38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hideMark/>
                </w:tcPr>
                <w:p w14:paraId="54858D17"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Part-time Top-Up - Year 1</w:t>
                  </w:r>
                </w:p>
              </w:tc>
            </w:tr>
            <w:tr w:rsidR="00AF458C" w14:paraId="62ED9221" w14:textId="77777777" w:rsidTr="00AF458C">
              <w:trPr>
                <w:trHeight w:val="380"/>
              </w:trPr>
              <w:tc>
                <w:tcPr>
                  <w:tcW w:w="49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040BC30A"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1</w:t>
                  </w:r>
                </w:p>
              </w:tc>
              <w:tc>
                <w:tcPr>
                  <w:tcW w:w="49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524602FD"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2</w:t>
                  </w:r>
                </w:p>
              </w:tc>
            </w:tr>
            <w:tr w:rsidR="00AF458C" w14:paraId="7563E780"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0BDD3F"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55F20C4"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44: Industrial Power, Electronics</w:t>
                  </w:r>
                </w:p>
                <w:p w14:paraId="15338AE3" w14:textId="02050360"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and Storage</w:t>
                  </w:r>
                </w:p>
              </w:tc>
            </w:tr>
            <w:tr w:rsidR="00AF458C" w14:paraId="65FF59E0"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B50CD1"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B97663"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51: Sustainability</w:t>
                  </w:r>
                </w:p>
              </w:tc>
            </w:tr>
          </w:tbl>
          <w:p w14:paraId="1027E323" w14:textId="77777777" w:rsidR="00AF458C" w:rsidRPr="00AF458C" w:rsidRDefault="00AF458C" w:rsidP="00AF458C">
            <w:pPr>
              <w:pStyle w:val="Standard"/>
              <w:tabs>
                <w:tab w:val="left" w:pos="720"/>
                <w:tab w:val="left" w:pos="1080"/>
              </w:tabs>
              <w:spacing w:after="0" w:line="240" w:lineRule="auto"/>
              <w:rPr>
                <w:rFonts w:ascii="Arial" w:eastAsia="Times New Roman" w:hAnsi="Arial" w:cs="Arial"/>
                <w:sz w:val="24"/>
                <w:szCs w:val="24"/>
              </w:rPr>
            </w:pPr>
          </w:p>
          <w:tbl>
            <w:tblPr>
              <w:tblW w:w="9870" w:type="dxa"/>
              <w:tblLayout w:type="fixed"/>
              <w:tblCellMar>
                <w:left w:w="10" w:type="dxa"/>
                <w:right w:w="10" w:type="dxa"/>
              </w:tblCellMar>
              <w:tblLook w:val="04A0" w:firstRow="1" w:lastRow="0" w:firstColumn="1" w:lastColumn="0" w:noHBand="0" w:noVBand="1"/>
            </w:tblPr>
            <w:tblGrid>
              <w:gridCol w:w="4936"/>
              <w:gridCol w:w="4934"/>
            </w:tblGrid>
            <w:tr w:rsidR="00AF458C" w14:paraId="17E0A053" w14:textId="77777777" w:rsidTr="00AF458C">
              <w:trPr>
                <w:trHeight w:val="38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hideMark/>
                </w:tcPr>
                <w:p w14:paraId="65415ED9"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Part-time Top-Up - Year 2</w:t>
                  </w:r>
                </w:p>
              </w:tc>
            </w:tr>
            <w:tr w:rsidR="00AF458C" w14:paraId="5FF9CDC7" w14:textId="77777777" w:rsidTr="00AF458C">
              <w:trPr>
                <w:trHeight w:val="380"/>
              </w:trPr>
              <w:tc>
                <w:tcPr>
                  <w:tcW w:w="49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1F733C70"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1</w:t>
                  </w:r>
                </w:p>
              </w:tc>
              <w:tc>
                <w:tcPr>
                  <w:tcW w:w="49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22E25594"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2</w:t>
                  </w:r>
                </w:p>
              </w:tc>
            </w:tr>
            <w:tr w:rsidR="00AF458C" w14:paraId="52D0B609"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D584248"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37: Virtual Engineering</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F388B8"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35: Professional Engineering Management</w:t>
                  </w:r>
                </w:p>
              </w:tc>
            </w:tr>
            <w:tr w:rsidR="00AF458C" w14:paraId="55BAF816" w14:textId="77777777" w:rsidTr="00AF458C">
              <w:trPr>
                <w:trHeight w:val="510"/>
              </w:trPr>
              <w:tc>
                <w:tcPr>
                  <w:tcW w:w="49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BE46424"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39: Further Mathematics</w:t>
                  </w:r>
                </w:p>
              </w:tc>
              <w:tc>
                <w:tcPr>
                  <w:tcW w:w="4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E28FFE"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45: Industrial Systems</w:t>
                  </w:r>
                </w:p>
              </w:tc>
            </w:tr>
            <w:tr w:rsidR="00AF458C" w14:paraId="37755A27" w14:textId="77777777" w:rsidTr="00AF458C">
              <w:trPr>
                <w:trHeight w:val="51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0CC44BB"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34: Research Project</w:t>
                  </w:r>
                </w:p>
              </w:tc>
            </w:tr>
          </w:tbl>
          <w:p w14:paraId="6FFF3B57" w14:textId="7D78BD18" w:rsidR="00AF458C" w:rsidRDefault="00AF458C" w:rsidP="0062324D">
            <w:pPr>
              <w:rPr>
                <w:rFonts w:ascii="Arial" w:hAnsi="Arial" w:cs="Arial"/>
                <w:sz w:val="12"/>
                <w:szCs w:val="12"/>
                <w:lang w:eastAsia="en-US"/>
              </w:rPr>
            </w:pPr>
          </w:p>
          <w:p w14:paraId="1BFB33E9" w14:textId="77777777" w:rsidR="00AF458C" w:rsidRDefault="00AF458C" w:rsidP="0062324D">
            <w:pPr>
              <w:rPr>
                <w:rFonts w:ascii="Arial" w:hAnsi="Arial" w:cs="Arial"/>
                <w:sz w:val="12"/>
                <w:szCs w:val="12"/>
                <w:lang w:eastAsia="en-US"/>
              </w:rPr>
            </w:pPr>
          </w:p>
          <w:p w14:paraId="4C950606" w14:textId="77777777" w:rsidR="0062324D" w:rsidRPr="00AF458C" w:rsidRDefault="0062324D">
            <w:pPr>
              <w:pStyle w:val="Standard"/>
              <w:tabs>
                <w:tab w:val="left" w:pos="720"/>
                <w:tab w:val="left" w:pos="1080"/>
              </w:tabs>
              <w:spacing w:after="0" w:line="240" w:lineRule="auto"/>
              <w:rPr>
                <w:rFonts w:ascii="Arial" w:eastAsia="Times New Roman" w:hAnsi="Arial" w:cs="Arial"/>
                <w:sz w:val="12"/>
                <w:szCs w:val="12"/>
              </w:rPr>
            </w:pPr>
          </w:p>
          <w:p w14:paraId="0C150360" w14:textId="77777777" w:rsidR="00414D2E" w:rsidRPr="000B7F0C" w:rsidRDefault="00EC6D47" w:rsidP="00C64917">
            <w:pPr>
              <w:pStyle w:val="Heading2"/>
              <w:spacing w:before="0"/>
              <w:rPr>
                <w:rFonts w:ascii="Arial" w:hAnsi="Arial"/>
                <w:b/>
                <w:color w:val="auto"/>
                <w:sz w:val="24"/>
                <w:szCs w:val="24"/>
              </w:rPr>
            </w:pPr>
            <w:r w:rsidRPr="000B7F0C">
              <w:rPr>
                <w:rFonts w:ascii="Arial" w:hAnsi="Arial"/>
                <w:b/>
                <w:color w:val="auto"/>
                <w:sz w:val="24"/>
                <w:szCs w:val="24"/>
              </w:rPr>
              <w:t>H</w:t>
            </w:r>
            <w:r w:rsidR="000B7F0C">
              <w:rPr>
                <w:rFonts w:ascii="Arial" w:hAnsi="Arial"/>
                <w:b/>
                <w:color w:val="auto"/>
                <w:sz w:val="24"/>
                <w:szCs w:val="24"/>
              </w:rPr>
              <w:t>ND</w:t>
            </w:r>
            <w:r w:rsidRPr="000B7F0C">
              <w:rPr>
                <w:rFonts w:ascii="Arial" w:hAnsi="Arial"/>
                <w:b/>
                <w:color w:val="auto"/>
                <w:sz w:val="24"/>
                <w:szCs w:val="24"/>
              </w:rPr>
              <w:t xml:space="preserve"> Engineering (Electrical and Electronic Engineering) </w:t>
            </w:r>
            <w:r w:rsidR="00DD73E0">
              <w:rPr>
                <w:rFonts w:ascii="Arial" w:hAnsi="Arial"/>
                <w:b/>
                <w:color w:val="auto"/>
                <w:sz w:val="24"/>
                <w:szCs w:val="24"/>
              </w:rPr>
              <w:t xml:space="preserve">Top-Up </w:t>
            </w:r>
            <w:r w:rsidR="00C64917">
              <w:rPr>
                <w:rFonts w:ascii="Arial" w:hAnsi="Arial"/>
                <w:b/>
                <w:color w:val="auto"/>
                <w:sz w:val="24"/>
                <w:szCs w:val="24"/>
              </w:rPr>
              <w:t xml:space="preserve">- </w:t>
            </w:r>
            <w:r w:rsidRPr="000B7F0C">
              <w:rPr>
                <w:rFonts w:ascii="Arial" w:hAnsi="Arial"/>
                <w:b/>
                <w:color w:val="auto"/>
                <w:sz w:val="24"/>
                <w:szCs w:val="24"/>
              </w:rPr>
              <w:t>Full-Time</w:t>
            </w:r>
          </w:p>
          <w:p w14:paraId="1D2F42A2" w14:textId="0F034498" w:rsidR="00414D2E" w:rsidRDefault="00414D2E">
            <w:pPr>
              <w:rPr>
                <w:sz w:val="12"/>
                <w:szCs w:val="12"/>
              </w:rPr>
            </w:pPr>
          </w:p>
          <w:tbl>
            <w:tblPr>
              <w:tblW w:w="9870" w:type="dxa"/>
              <w:tblLayout w:type="fixed"/>
              <w:tblCellMar>
                <w:left w:w="10" w:type="dxa"/>
                <w:right w:w="10" w:type="dxa"/>
              </w:tblCellMar>
              <w:tblLook w:val="04A0" w:firstRow="1" w:lastRow="0" w:firstColumn="1" w:lastColumn="0" w:noHBand="0" w:noVBand="1"/>
            </w:tblPr>
            <w:tblGrid>
              <w:gridCol w:w="4934"/>
              <w:gridCol w:w="4936"/>
            </w:tblGrid>
            <w:tr w:rsidR="00AF458C" w14:paraId="25EADF13" w14:textId="77777777" w:rsidTr="00AF458C">
              <w:trPr>
                <w:trHeight w:val="397"/>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hideMark/>
                </w:tcPr>
                <w:p w14:paraId="1AC22AA6"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Full-time Top-Up - Year 1</w:t>
                  </w:r>
                </w:p>
              </w:tc>
            </w:tr>
            <w:tr w:rsidR="00AF458C" w14:paraId="379681A6" w14:textId="77777777" w:rsidTr="00AF458C">
              <w:trPr>
                <w:trHeight w:val="397"/>
              </w:trPr>
              <w:tc>
                <w:tcPr>
                  <w:tcW w:w="493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hideMark/>
                </w:tcPr>
                <w:p w14:paraId="3E7C9B4B"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1</w:t>
                  </w:r>
                </w:p>
              </w:tc>
              <w:tc>
                <w:tcPr>
                  <w:tcW w:w="4934" w:type="dxa"/>
                  <w:tcBorders>
                    <w:top w:val="single" w:sz="4" w:space="0" w:color="00000A"/>
                    <w:left w:val="single" w:sz="4" w:space="0" w:color="00000A"/>
                    <w:bottom w:val="single" w:sz="4" w:space="0" w:color="00000A"/>
                    <w:right w:val="single" w:sz="4" w:space="0" w:color="00000A"/>
                  </w:tcBorders>
                  <w:shd w:val="clear" w:color="auto" w:fill="D9D9D9"/>
                  <w:vAlign w:val="center"/>
                  <w:hideMark/>
                </w:tcPr>
                <w:p w14:paraId="4D5E5959"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b/>
                      <w:sz w:val="24"/>
                      <w:szCs w:val="24"/>
                    </w:rPr>
                  </w:pPr>
                  <w:r>
                    <w:rPr>
                      <w:rFonts w:ascii="Arial" w:eastAsia="Times New Roman" w:hAnsi="Arial" w:cs="Arial"/>
                      <w:b/>
                      <w:sz w:val="24"/>
                      <w:szCs w:val="24"/>
                    </w:rPr>
                    <w:t>Semester 2</w:t>
                  </w:r>
                </w:p>
              </w:tc>
            </w:tr>
            <w:tr w:rsidR="00AF458C" w14:paraId="3C697BEE"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3F8A0BD"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37: Virtual Engineering</w:t>
                  </w: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43B2790"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35: Professional Engineering Management</w:t>
                  </w:r>
                </w:p>
              </w:tc>
            </w:tr>
            <w:tr w:rsidR="00AF458C" w14:paraId="0CC68249"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5C43147"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39: Further Mathematics</w:t>
                  </w: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D55AA42"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44: Industrial Power, Electronics</w:t>
                  </w:r>
                </w:p>
                <w:p w14:paraId="42A34623" w14:textId="620F3AF5"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and Storage</w:t>
                  </w:r>
                </w:p>
              </w:tc>
            </w:tr>
            <w:tr w:rsidR="00AF458C" w14:paraId="0238F0D2"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80EEA1"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4F749A"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45: Industrial Systems</w:t>
                  </w:r>
                </w:p>
              </w:tc>
            </w:tr>
            <w:tr w:rsidR="00AF458C" w14:paraId="60B0DA4F" w14:textId="77777777" w:rsidTr="00AF458C">
              <w:trPr>
                <w:trHeight w:val="510"/>
              </w:trPr>
              <w:tc>
                <w:tcPr>
                  <w:tcW w:w="4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7B5698"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p>
              </w:tc>
              <w:tc>
                <w:tcPr>
                  <w:tcW w:w="49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FB5E8CD"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51: Sustainability</w:t>
                  </w:r>
                </w:p>
              </w:tc>
            </w:tr>
            <w:tr w:rsidR="00AF458C" w14:paraId="438D05B0" w14:textId="77777777" w:rsidTr="00AF458C">
              <w:trPr>
                <w:trHeight w:val="510"/>
              </w:trPr>
              <w:tc>
                <w:tcPr>
                  <w:tcW w:w="98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BB400BB" w14:textId="77777777" w:rsidR="00AF458C" w:rsidRDefault="00AF458C" w:rsidP="00AF458C">
                  <w:pPr>
                    <w:pStyle w:val="Standard"/>
                    <w:tabs>
                      <w:tab w:val="left" w:pos="720"/>
                      <w:tab w:val="left" w:pos="1080"/>
                    </w:tabs>
                    <w:spacing w:after="0" w:line="240" w:lineRule="auto"/>
                    <w:jc w:val="center"/>
                    <w:rPr>
                      <w:rFonts w:ascii="Arial" w:eastAsia="Times New Roman" w:hAnsi="Arial" w:cs="Arial"/>
                      <w:sz w:val="24"/>
                      <w:szCs w:val="24"/>
                    </w:rPr>
                  </w:pPr>
                  <w:r>
                    <w:rPr>
                      <w:rFonts w:ascii="Arial" w:eastAsia="Times New Roman" w:hAnsi="Arial" w:cs="Arial"/>
                      <w:sz w:val="24"/>
                      <w:szCs w:val="24"/>
                    </w:rPr>
                    <w:t>Unit 34: Research Project</w:t>
                  </w:r>
                </w:p>
              </w:tc>
            </w:tr>
          </w:tbl>
          <w:p w14:paraId="62B31328"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15701493" w14:textId="575E9626" w:rsidR="00AF458C" w:rsidRDefault="00AF458C">
            <w:pPr>
              <w:pStyle w:val="Standard"/>
              <w:tabs>
                <w:tab w:val="left" w:pos="720"/>
                <w:tab w:val="left" w:pos="1080"/>
              </w:tabs>
              <w:spacing w:after="0" w:line="240" w:lineRule="auto"/>
              <w:rPr>
                <w:rFonts w:ascii="Arial" w:eastAsia="Times New Roman" w:hAnsi="Arial" w:cs="Arial"/>
                <w:sz w:val="24"/>
                <w:szCs w:val="24"/>
              </w:rPr>
            </w:pPr>
            <w:bookmarkStart w:id="3" w:name="_GoBack"/>
            <w:bookmarkEnd w:id="3"/>
          </w:p>
        </w:tc>
      </w:tr>
      <w:tr w:rsidR="00414D2E" w14:paraId="73CE7F0E" w14:textId="77777777" w:rsidTr="00BD1ADD">
        <w:trPr>
          <w:trHeight w:val="1062"/>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763508"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19</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DD2A3A"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Support for Students and Their Learning</w:t>
            </w:r>
          </w:p>
          <w:p w14:paraId="4CA9E75C" w14:textId="77777777" w:rsidR="00414D2E" w:rsidRDefault="00414D2E">
            <w:pPr>
              <w:pStyle w:val="Standard"/>
              <w:tabs>
                <w:tab w:val="left" w:pos="720"/>
                <w:tab w:val="left" w:pos="1080"/>
              </w:tabs>
              <w:spacing w:after="0" w:line="240" w:lineRule="auto"/>
              <w:rPr>
                <w:rFonts w:eastAsia="Times New Roman" w:cs="Arial"/>
              </w:rPr>
            </w:pPr>
          </w:p>
          <w:p w14:paraId="2D1D8AAA"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Student progression on the programme is supported by subject tutors and central College services.</w:t>
            </w:r>
          </w:p>
          <w:p w14:paraId="615D7838"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59D9DBBA" w14:textId="77777777" w:rsidR="00414D2E" w:rsidRDefault="00EC6D47">
            <w:pPr>
              <w:pStyle w:val="Standard"/>
              <w:tabs>
                <w:tab w:val="left" w:pos="720"/>
                <w:tab w:val="left" w:pos="1080"/>
              </w:tabs>
              <w:spacing w:after="0" w:line="240" w:lineRule="auto"/>
              <w:rPr>
                <w:rFonts w:ascii="Arial" w:eastAsia="Times New Roman" w:hAnsi="Arial" w:cs="Arial"/>
                <w:sz w:val="24"/>
                <w:szCs w:val="24"/>
                <w:u w:val="single"/>
              </w:rPr>
            </w:pPr>
            <w:r>
              <w:rPr>
                <w:rFonts w:ascii="Arial" w:eastAsia="Times New Roman" w:hAnsi="Arial" w:cs="Arial"/>
                <w:sz w:val="24"/>
                <w:szCs w:val="24"/>
                <w:u w:val="single"/>
              </w:rPr>
              <w:t>College</w:t>
            </w:r>
          </w:p>
          <w:p w14:paraId="15CF512E"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4D6A06AF"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College employs dedicated staff to offer specialist advice and assistance for all students:</w:t>
            </w:r>
          </w:p>
          <w:p w14:paraId="778F5185"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50375560"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Bradford Student Health Service is a dedicated NHS GP service specialising in Student Health.  The Student Health Service provides a confidential and comprehensive service of health care with access to specialist services.  Students who live in the practice area can register with one of the doctors and make full use of the service.</w:t>
            </w:r>
          </w:p>
          <w:p w14:paraId="75D319AA"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3E8C8E23"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 xml:space="preserve">Additional Learning Support (Disabilities and Difficulties) look after </w:t>
            </w:r>
            <w:r w:rsidR="00BD1ADD">
              <w:rPr>
                <w:rFonts w:ascii="Arial" w:eastAsia="Times New Roman" w:hAnsi="Arial" w:cs="Arial"/>
                <w:sz w:val="24"/>
                <w:szCs w:val="24"/>
              </w:rPr>
              <w:t xml:space="preserve">the </w:t>
            </w:r>
            <w:r>
              <w:rPr>
                <w:rFonts w:ascii="Arial" w:eastAsia="Times New Roman" w:hAnsi="Arial" w:cs="Arial"/>
                <w:sz w:val="24"/>
                <w:szCs w:val="24"/>
              </w:rPr>
              <w:t>learning support needs of all students with disabilities or difficulties in College, irrespective of their programme of study.  They provide support and guidance for students whilst developing close links with programme tutors to ensure that the support put in place is appropriate to the students’ individual needs and the requirements of the programme.</w:t>
            </w:r>
          </w:p>
          <w:p w14:paraId="3135A676"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723FDD39"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Library resources are available on the second floor of the David Hockney Building with library staff available to give assistance if required.</w:t>
            </w:r>
          </w:p>
          <w:p w14:paraId="1716C42D"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5F70BE8C"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Technology and Media Services are also located on the second floor of the David Hockney Building.  Various pieces of IT equipment can be accessed to enhance the learning experience.</w:t>
            </w:r>
          </w:p>
          <w:p w14:paraId="034AF6A7"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6DE50675" w14:textId="77777777" w:rsidR="00BD1ADD" w:rsidRDefault="00BD1ADD" w:rsidP="00BD1ADD">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There are also other areas of personal interest to students, for example, the gym in the Trinity Green Building.</w:t>
            </w:r>
          </w:p>
          <w:p w14:paraId="0635B3A4" w14:textId="77777777" w:rsidR="00BD1ADD" w:rsidRDefault="00BD1ADD" w:rsidP="00BD1ADD">
            <w:pPr>
              <w:pStyle w:val="Standard"/>
              <w:tabs>
                <w:tab w:val="left" w:pos="720"/>
                <w:tab w:val="left" w:pos="1080"/>
              </w:tabs>
              <w:spacing w:after="0" w:line="240" w:lineRule="auto"/>
              <w:rPr>
                <w:rFonts w:ascii="Arial" w:eastAsia="Times New Roman" w:hAnsi="Arial" w:cs="Arial"/>
                <w:b/>
                <w:sz w:val="24"/>
                <w:szCs w:val="24"/>
              </w:rPr>
            </w:pPr>
          </w:p>
          <w:p w14:paraId="55394BCE" w14:textId="77777777" w:rsidR="00BD1ADD" w:rsidRDefault="00BD1ADD" w:rsidP="00BD1ADD">
            <w:pPr>
              <w:pStyle w:val="Standard"/>
              <w:tabs>
                <w:tab w:val="left" w:pos="720"/>
                <w:tab w:val="left" w:pos="1080"/>
              </w:tabs>
              <w:spacing w:after="0" w:line="240" w:lineRule="auto"/>
              <w:rPr>
                <w:rFonts w:ascii="Arial" w:eastAsia="Times New Roman" w:hAnsi="Arial" w:cs="Arial"/>
                <w:sz w:val="24"/>
                <w:szCs w:val="24"/>
                <w:u w:val="single"/>
              </w:rPr>
            </w:pPr>
            <w:r>
              <w:rPr>
                <w:rFonts w:ascii="Arial" w:eastAsia="Times New Roman" w:hAnsi="Arial" w:cs="Arial"/>
                <w:sz w:val="24"/>
                <w:szCs w:val="24"/>
                <w:u w:val="single"/>
              </w:rPr>
              <w:t>Programme</w:t>
            </w:r>
          </w:p>
          <w:p w14:paraId="121E04A4" w14:textId="77777777" w:rsidR="00BD1ADD" w:rsidRDefault="00BD1ADD" w:rsidP="00BD1ADD">
            <w:pPr>
              <w:pStyle w:val="Standard"/>
              <w:tabs>
                <w:tab w:val="left" w:pos="720"/>
                <w:tab w:val="left" w:pos="1080"/>
              </w:tabs>
              <w:spacing w:after="0" w:line="240" w:lineRule="auto"/>
              <w:rPr>
                <w:rFonts w:ascii="Arial" w:eastAsia="Times New Roman" w:hAnsi="Arial" w:cs="Arial"/>
                <w:sz w:val="24"/>
                <w:szCs w:val="24"/>
                <w:lang w:eastAsia="en-GB"/>
              </w:rPr>
            </w:pPr>
          </w:p>
          <w:p w14:paraId="24A4C326"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lang w:eastAsia="en-GB"/>
              </w:rPr>
            </w:pPr>
            <w:r>
              <w:rPr>
                <w:rFonts w:ascii="Arial" w:eastAsia="Times New Roman" w:hAnsi="Arial" w:cs="Arial"/>
                <w:sz w:val="24"/>
                <w:szCs w:val="24"/>
                <w:lang w:eastAsia="en-GB"/>
              </w:rPr>
              <w:t>The programme is managed by a Programme Leader who will aim to ensure that the student meets the programme learning outcomes alongside the awarding body expectations for quality.</w:t>
            </w:r>
          </w:p>
          <w:p w14:paraId="5FDF4BCA"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t>Teaching is delivered by an experienced team of lecturers each of whom has expertise in a range of specialist subjects.</w:t>
            </w:r>
          </w:p>
          <w:p w14:paraId="146B6D10" w14:textId="77777777" w:rsidR="00BD1ADD" w:rsidRDefault="00BD1ADD" w:rsidP="00BD1ADD">
            <w:pPr>
              <w:pStyle w:val="Standard"/>
              <w:numPr>
                <w:ilvl w:val="0"/>
                <w:numId w:val="31"/>
              </w:numPr>
              <w:tabs>
                <w:tab w:val="left" w:pos="-720"/>
                <w:tab w:val="left" w:pos="-360"/>
              </w:tabs>
              <w:spacing w:after="0" w:line="240" w:lineRule="auto"/>
              <w:ind w:left="541" w:hanging="283"/>
            </w:pPr>
            <w:r>
              <w:rPr>
                <w:rFonts w:ascii="Arial" w:eastAsia="Times New Roman" w:hAnsi="Arial" w:cs="Arial"/>
                <w:sz w:val="24"/>
                <w:szCs w:val="24"/>
              </w:rPr>
              <w:t>Induction week comprises of a full programme of e</w:t>
            </w:r>
            <w:r w:rsidR="006856D3">
              <w:rPr>
                <w:rFonts w:ascii="Arial" w:eastAsia="Times New Roman" w:hAnsi="Arial" w:cs="Arial"/>
                <w:sz w:val="24"/>
                <w:szCs w:val="24"/>
              </w:rPr>
              <w:t>vents designed to welcome</w:t>
            </w:r>
            <w:r>
              <w:rPr>
                <w:rFonts w:ascii="Arial" w:eastAsia="Times New Roman" w:hAnsi="Arial" w:cs="Arial"/>
                <w:sz w:val="24"/>
                <w:szCs w:val="24"/>
              </w:rPr>
              <w:t xml:space="preserve"> students to the College, and make them familiar with their new surroundings.  The process of establishing effective relationships between students and the teaching team begins at this point and activities are geared towards establishing and promoting a cohort identity. All students are provided with a Student and Programme Handbook and supported in gaining access to on-line resources.</w:t>
            </w:r>
          </w:p>
          <w:p w14:paraId="7843A8C5"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t>Extensive use is made of a VLE. This has comprehensive support material at programme and unit level as well as additional learning resources and links to off-site study support. Independent learning is encouraged through the use of student forums, blogs and message boards. These are also used to provide students with regular and timely formative feedback.</w:t>
            </w:r>
          </w:p>
          <w:p w14:paraId="56AE82FA"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t>At the start of each academic year all students undertake a numeracy and literacy skills test. The results of these are analysed and allow for student specific additional support to be offered where required.</w:t>
            </w:r>
          </w:p>
          <w:p w14:paraId="7FE3A2EF"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lastRenderedPageBreak/>
              <w:t>Throughout the academic year all students have timetabled study skills sessions. These sessions support students with the transition to Level 4 and Level 5 study, prepare them for progression to Level 6 and enable them to align practical skills with the academic rigour associated with Higher Education.</w:t>
            </w:r>
          </w:p>
          <w:p w14:paraId="5AEE9D2A"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t>The School of Engineering is equipped with hardware, software and equipment that reflects the standards required by industry. Specialist software is provided. Hardware, Software and equipment requirements are reviewed annually.</w:t>
            </w:r>
          </w:p>
          <w:p w14:paraId="0F10354B"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t>A tutorial system is in place that provides academic and pastoral support to all students. Staff are available on both a walk-in and by-appointment basis. Staff are also contactable via email and the VLE.</w:t>
            </w:r>
          </w:p>
          <w:p w14:paraId="7BD93A56"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lang w:eastAsia="en-GB"/>
              </w:rPr>
            </w:pPr>
            <w:r>
              <w:rPr>
                <w:rFonts w:ascii="Arial" w:eastAsia="Times New Roman" w:hAnsi="Arial" w:cs="Arial"/>
                <w:sz w:val="24"/>
                <w:szCs w:val="24"/>
                <w:lang w:eastAsia="en-GB"/>
              </w:rPr>
              <w:t>A Personal Tutor is assigned to each student to provide pastoral care and an opportunity to discuss any issues that may arise throughout the academic year.</w:t>
            </w:r>
          </w:p>
          <w:p w14:paraId="579FE901" w14:textId="77777777" w:rsidR="00BD1ADD" w:rsidRDefault="00BD1ADD" w:rsidP="00BD1ADD">
            <w:pPr>
              <w:pStyle w:val="Standard"/>
              <w:numPr>
                <w:ilvl w:val="0"/>
                <w:numId w:val="31"/>
              </w:numPr>
              <w:tabs>
                <w:tab w:val="left" w:pos="-720"/>
                <w:tab w:val="left" w:pos="-360"/>
              </w:tabs>
              <w:spacing w:after="0" w:line="240" w:lineRule="auto"/>
              <w:ind w:left="541" w:hanging="283"/>
              <w:rPr>
                <w:rFonts w:ascii="Arial" w:eastAsia="Times New Roman" w:hAnsi="Arial" w:cs="Arial"/>
                <w:sz w:val="24"/>
                <w:szCs w:val="24"/>
              </w:rPr>
            </w:pPr>
            <w:r>
              <w:rPr>
                <w:rFonts w:ascii="Arial" w:eastAsia="Times New Roman" w:hAnsi="Arial" w:cs="Arial"/>
                <w:sz w:val="24"/>
                <w:szCs w:val="24"/>
              </w:rPr>
              <w:t>The College have extensive library facilities including a wide range of on-line resources. Library resources are reviewed by the Programme Area on an annual basis. Group study areas are available within the College library.</w:t>
            </w:r>
          </w:p>
          <w:p w14:paraId="2CBABDA1" w14:textId="77777777" w:rsidR="00BD1ADD" w:rsidRDefault="00BD1ADD" w:rsidP="00BD1ADD">
            <w:pPr>
              <w:pStyle w:val="Standard"/>
              <w:tabs>
                <w:tab w:val="left" w:pos="720"/>
                <w:tab w:val="left" w:pos="1080"/>
              </w:tabs>
              <w:spacing w:after="0" w:line="240" w:lineRule="auto"/>
              <w:rPr>
                <w:rFonts w:eastAsia="Times New Roman" w:cs="Arial"/>
              </w:rPr>
            </w:pPr>
          </w:p>
          <w:p w14:paraId="7627868B" w14:textId="77777777" w:rsidR="00414D2E" w:rsidRDefault="00BD1ADD">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Teaching Team operates a series of additional workshops throughout the academic year. A specialist tutor is available at each of these to offer support and guidance to students.</w:t>
            </w:r>
          </w:p>
          <w:p w14:paraId="1309A368" w14:textId="0A338950" w:rsidR="00430D04" w:rsidRDefault="00430D04">
            <w:pPr>
              <w:pStyle w:val="Standard"/>
              <w:tabs>
                <w:tab w:val="left" w:pos="720"/>
                <w:tab w:val="left" w:pos="1080"/>
              </w:tabs>
              <w:spacing w:after="0" w:line="240" w:lineRule="auto"/>
              <w:rPr>
                <w:rFonts w:ascii="Arial" w:eastAsia="Times New Roman" w:hAnsi="Arial" w:cs="Arial"/>
                <w:sz w:val="24"/>
                <w:szCs w:val="24"/>
              </w:rPr>
            </w:pPr>
          </w:p>
        </w:tc>
      </w:tr>
      <w:tr w:rsidR="00414D2E" w14:paraId="046E417B" w14:textId="77777777" w:rsidTr="00430D04">
        <w:trPr>
          <w:trHeight w:val="871"/>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ED37B7"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20</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7F5C98"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Distinctive Features</w:t>
            </w:r>
          </w:p>
          <w:p w14:paraId="07100964"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0D44F076" w14:textId="77777777" w:rsidR="00BD1ADD" w:rsidRDefault="00BD1ADD" w:rsidP="00BD1ADD">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HNC/D in Engineering are work-related qualifications for students taking their first steps into employment, or for those already in employment and seeking career development opportunities.  The programmes provide progression into the workplace either directly or via study at Level 5 and 6 and are also designed to meet employer’s needs.  Pearson BTEC Higher National qualifications are widely recognised by industry as the principal vocational qualification at Levels 4 and 5.  When redeveloping the programme, Pearson collaborated with a wide range of students, employers, higher education providers, colleges and subject experts to ensure that the new qualifications meet their needs and expectations.  They also worked closely with the relevant professional bodies, to ensure alignment with recognised professional standards.  There is now a greater emphasis on employer engagement and work readiness.  The new Pearson BTEC Higher National qualifications in Engineering are designed to reflect this increasing need for high quality professional and technical education pathways at Levels 4 and 5, thereby providing students with a clear line of sight to employment and to progression to a degree at Level 6.</w:t>
            </w:r>
          </w:p>
          <w:p w14:paraId="28C99C03" w14:textId="77777777" w:rsidR="00BD1ADD" w:rsidRDefault="00BD1ADD" w:rsidP="00BD1ADD">
            <w:pPr>
              <w:pStyle w:val="Standard"/>
              <w:tabs>
                <w:tab w:val="left" w:pos="720"/>
                <w:tab w:val="left" w:pos="1080"/>
              </w:tabs>
              <w:spacing w:after="0" w:line="240" w:lineRule="auto"/>
              <w:rPr>
                <w:rFonts w:ascii="Arial" w:eastAsia="Times New Roman" w:hAnsi="Arial" w:cs="Arial"/>
                <w:sz w:val="24"/>
                <w:szCs w:val="24"/>
              </w:rPr>
            </w:pPr>
          </w:p>
          <w:p w14:paraId="2F720CC1" w14:textId="77777777" w:rsidR="00BD1ADD" w:rsidRDefault="00BD1ADD" w:rsidP="00BD1ADD">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School of Engineering has established close links with both local business and the local community.  Wherever practicable, assessment on the programme reinforces these links.</w:t>
            </w:r>
          </w:p>
          <w:p w14:paraId="2646C7DD" w14:textId="2C7C1659" w:rsidR="00850F73" w:rsidRDefault="00850F73" w:rsidP="00BD1ADD">
            <w:pPr>
              <w:pStyle w:val="Standard"/>
              <w:tabs>
                <w:tab w:val="left" w:pos="720"/>
                <w:tab w:val="left" w:pos="1080"/>
              </w:tabs>
              <w:spacing w:after="0" w:line="240" w:lineRule="auto"/>
              <w:rPr>
                <w:rFonts w:ascii="Arial" w:eastAsia="Times New Roman" w:hAnsi="Arial" w:cs="Arial"/>
                <w:sz w:val="24"/>
                <w:szCs w:val="24"/>
              </w:rPr>
            </w:pPr>
          </w:p>
        </w:tc>
      </w:tr>
      <w:tr w:rsidR="00414D2E" w14:paraId="77B7996D" w14:textId="77777777">
        <w:trPr>
          <w:cantSplit/>
          <w:trHeight w:val="1602"/>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D2B725"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21</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C8C767"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Regulation of Assessment</w:t>
            </w:r>
          </w:p>
          <w:p w14:paraId="1B96A6C4"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7D8879DA" w14:textId="77777777" w:rsidR="00414D2E" w:rsidRDefault="00EC6D47">
            <w:pPr>
              <w:pStyle w:val="Standard"/>
              <w:tabs>
                <w:tab w:val="left" w:pos="720"/>
                <w:tab w:val="left" w:pos="1080"/>
              </w:tabs>
              <w:spacing w:after="0" w:line="240" w:lineRule="auto"/>
            </w:pPr>
            <w:r>
              <w:rPr>
                <w:rFonts w:ascii="Arial" w:eastAsia="Times New Roman" w:hAnsi="Arial" w:cs="Arial"/>
                <w:sz w:val="24"/>
                <w:szCs w:val="24"/>
              </w:rPr>
              <w:t>Assessment regulations are as published by the College and are in accordance with guidance provided by Pearson/BTEC. Regulations relevant to this programme of study are published in the programme handbook.</w:t>
            </w:r>
          </w:p>
        </w:tc>
      </w:tr>
      <w:tr w:rsidR="00414D2E" w14:paraId="3E675BD9" w14:textId="77777777" w:rsidTr="006B7A51">
        <w:trPr>
          <w:trHeight w:val="1487"/>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85E6E7"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22</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F812F3"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Indicators of Quality and Standards</w:t>
            </w:r>
          </w:p>
          <w:p w14:paraId="47FB9E63"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1AF818F4" w14:textId="0489493A"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Annual review and monitoring will be conducted in line with College regulations and Pearson requirements using College and awarding body processes.  The full cycle of review will take place and is identified in the HE Quality calendar.  This cycle includes unit review/evaluation by students and staff and Student Experience Surveys (SES).</w:t>
            </w:r>
          </w:p>
          <w:p w14:paraId="3AE2178A"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0EADED3E" w14:textId="77777777" w:rsidR="00414D2E" w:rsidRDefault="00EC6D47">
            <w:pPr>
              <w:pStyle w:val="Standard"/>
              <w:spacing w:after="0" w:line="240" w:lineRule="auto"/>
              <w:rPr>
                <w:rFonts w:ascii="Arial" w:hAnsi="Arial" w:cs="Arial"/>
                <w:sz w:val="24"/>
                <w:szCs w:val="24"/>
              </w:rPr>
            </w:pPr>
            <w:r>
              <w:rPr>
                <w:rFonts w:ascii="Arial" w:hAnsi="Arial" w:cs="Arial"/>
                <w:sz w:val="24"/>
                <w:szCs w:val="24"/>
              </w:rPr>
              <w:t>Measures are in place to ensure robust internal and external quality assurance.  These quality-related processes are outlined below:</w:t>
            </w:r>
          </w:p>
          <w:p w14:paraId="41730A69" w14:textId="77777777" w:rsidR="00414D2E" w:rsidRDefault="00414D2E">
            <w:pPr>
              <w:pStyle w:val="Standard"/>
              <w:spacing w:after="0" w:line="240" w:lineRule="auto"/>
              <w:rPr>
                <w:rFonts w:ascii="Arial" w:hAnsi="Arial" w:cs="Arial"/>
                <w:sz w:val="24"/>
                <w:szCs w:val="24"/>
              </w:rPr>
            </w:pPr>
          </w:p>
          <w:p w14:paraId="75634265" w14:textId="77777777" w:rsidR="00414D2E" w:rsidRDefault="00EC6D47">
            <w:pPr>
              <w:pStyle w:val="Standard"/>
              <w:spacing w:after="0" w:line="240" w:lineRule="auto"/>
              <w:rPr>
                <w:rFonts w:ascii="Arial" w:hAnsi="Arial" w:cs="Arial"/>
                <w:sz w:val="24"/>
                <w:szCs w:val="24"/>
              </w:rPr>
            </w:pPr>
            <w:r>
              <w:rPr>
                <w:rFonts w:ascii="Arial" w:hAnsi="Arial" w:cs="Arial"/>
                <w:sz w:val="24"/>
                <w:szCs w:val="24"/>
              </w:rPr>
              <w:t>Programme committee meetings and annual monitoring events which are attended by student representatives.</w:t>
            </w:r>
          </w:p>
          <w:p w14:paraId="7BF71E3D" w14:textId="77777777" w:rsidR="00414D2E" w:rsidRDefault="00414D2E">
            <w:pPr>
              <w:pStyle w:val="Standard"/>
              <w:spacing w:after="0" w:line="240" w:lineRule="auto"/>
              <w:rPr>
                <w:rFonts w:ascii="Arial" w:hAnsi="Arial" w:cs="Arial"/>
                <w:sz w:val="24"/>
                <w:szCs w:val="24"/>
              </w:rPr>
            </w:pPr>
          </w:p>
          <w:p w14:paraId="52500C9C" w14:textId="77777777" w:rsidR="00BD1ADD" w:rsidRDefault="00BD1ADD" w:rsidP="00BD1ADD">
            <w:pPr>
              <w:pStyle w:val="Standard"/>
              <w:spacing w:after="0" w:line="240" w:lineRule="auto"/>
              <w:rPr>
                <w:rFonts w:ascii="Arial" w:hAnsi="Arial" w:cs="Arial"/>
                <w:sz w:val="24"/>
                <w:szCs w:val="24"/>
              </w:rPr>
            </w:pPr>
            <w:r>
              <w:rPr>
                <w:rFonts w:ascii="Arial" w:hAnsi="Arial" w:cs="Arial"/>
                <w:sz w:val="24"/>
                <w:szCs w:val="24"/>
              </w:rPr>
              <w:t>Unit reviews which are completed by students/staff.</w:t>
            </w:r>
          </w:p>
          <w:p w14:paraId="64009FA6" w14:textId="77777777" w:rsidR="00414D2E" w:rsidRDefault="00414D2E">
            <w:pPr>
              <w:pStyle w:val="Standard"/>
              <w:spacing w:after="0" w:line="240" w:lineRule="auto"/>
              <w:rPr>
                <w:rFonts w:ascii="Arial" w:hAnsi="Arial" w:cs="Arial"/>
                <w:sz w:val="24"/>
                <w:szCs w:val="24"/>
              </w:rPr>
            </w:pPr>
          </w:p>
          <w:p w14:paraId="06F9A17D" w14:textId="77777777" w:rsidR="00414D2E" w:rsidRDefault="00EC6D47">
            <w:pPr>
              <w:pStyle w:val="Standard"/>
              <w:spacing w:after="0" w:line="240" w:lineRule="auto"/>
            </w:pPr>
            <w:r>
              <w:rPr>
                <w:rFonts w:ascii="Arial" w:hAnsi="Arial" w:cs="Arial"/>
                <w:sz w:val="24"/>
                <w:szCs w:val="24"/>
              </w:rPr>
              <w:t>Moodle will also host chatrooms and forums so that students can liaise regularly with one another as well as tutors.</w:t>
            </w:r>
          </w:p>
          <w:p w14:paraId="31B4E764" w14:textId="77777777" w:rsidR="00414D2E" w:rsidRDefault="00414D2E">
            <w:pPr>
              <w:pStyle w:val="Standard"/>
              <w:spacing w:after="0" w:line="240" w:lineRule="auto"/>
              <w:rPr>
                <w:rFonts w:ascii="Arial" w:hAnsi="Arial" w:cs="Arial"/>
                <w:sz w:val="24"/>
                <w:szCs w:val="24"/>
              </w:rPr>
            </w:pPr>
          </w:p>
          <w:p w14:paraId="041DBCE6" w14:textId="77777777" w:rsidR="00414D2E" w:rsidRDefault="00EC6D47">
            <w:pPr>
              <w:pStyle w:val="Standard"/>
              <w:spacing w:after="0" w:line="240" w:lineRule="auto"/>
            </w:pPr>
            <w:r>
              <w:rPr>
                <w:rFonts w:ascii="Arial" w:hAnsi="Arial" w:cs="Arial"/>
                <w:sz w:val="24"/>
                <w:szCs w:val="24"/>
              </w:rPr>
              <w:t xml:space="preserve">The delivery of </w:t>
            </w:r>
            <w:r w:rsidR="00BD1ADD" w:rsidRPr="00BD1ADD">
              <w:rPr>
                <w:rFonts w:ascii="Arial" w:hAnsi="Arial" w:cs="Arial"/>
                <w:sz w:val="24"/>
                <w:szCs w:val="24"/>
              </w:rPr>
              <w:t>the HN</w:t>
            </w:r>
            <w:r w:rsidR="00BD1ADD">
              <w:rPr>
                <w:rFonts w:ascii="Arial" w:hAnsi="Arial" w:cs="Arial"/>
                <w:sz w:val="24"/>
                <w:szCs w:val="24"/>
              </w:rPr>
              <w:t>D</w:t>
            </w:r>
            <w:r w:rsidR="00BD1ADD" w:rsidRPr="00BD1ADD">
              <w:rPr>
                <w:rFonts w:ascii="Arial" w:hAnsi="Arial" w:cs="Arial"/>
                <w:sz w:val="24"/>
                <w:szCs w:val="24"/>
              </w:rPr>
              <w:t xml:space="preserve"> Engineering (Electrical and Electronic Engineering) w</w:t>
            </w:r>
            <w:r>
              <w:rPr>
                <w:rFonts w:ascii="Arial" w:hAnsi="Arial" w:cs="Arial"/>
                <w:sz w:val="24"/>
                <w:szCs w:val="24"/>
              </w:rPr>
              <w:t>ill be reviewed annually via production of an Annual Monitoring Report and, on a much more regular basis, through meetings of the programme delivery team.</w:t>
            </w:r>
          </w:p>
          <w:p w14:paraId="03E487AB" w14:textId="77777777" w:rsidR="00414D2E" w:rsidRDefault="00414D2E">
            <w:pPr>
              <w:pStyle w:val="Standard"/>
              <w:spacing w:after="0" w:line="240" w:lineRule="auto"/>
              <w:rPr>
                <w:rFonts w:ascii="Arial" w:hAnsi="Arial" w:cs="Arial"/>
                <w:sz w:val="24"/>
                <w:szCs w:val="24"/>
              </w:rPr>
            </w:pPr>
          </w:p>
          <w:p w14:paraId="713562DD" w14:textId="77777777" w:rsidR="00414D2E" w:rsidRDefault="00EC6D47">
            <w:pPr>
              <w:pStyle w:val="Standard"/>
              <w:tabs>
                <w:tab w:val="left" w:pos="720"/>
                <w:tab w:val="left" w:pos="1080"/>
              </w:tabs>
              <w:spacing w:after="0" w:line="240" w:lineRule="auto"/>
              <w:rPr>
                <w:rFonts w:ascii="Arial" w:eastAsia="Times New Roman" w:hAnsi="Arial" w:cs="Arial"/>
                <w:sz w:val="24"/>
                <w:szCs w:val="24"/>
              </w:rPr>
            </w:pPr>
            <w:r>
              <w:rPr>
                <w:rFonts w:ascii="Arial" w:eastAsia="Times New Roman" w:hAnsi="Arial" w:cs="Arial"/>
                <w:sz w:val="24"/>
                <w:szCs w:val="24"/>
              </w:rPr>
              <w:t>The programme will also be subject to external quality assurance processes such as external examiner review.</w:t>
            </w:r>
          </w:p>
          <w:p w14:paraId="281EBDE2"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tc>
      </w:tr>
      <w:tr w:rsidR="00414D2E" w14:paraId="028337BC" w14:textId="77777777">
        <w:trPr>
          <w:trHeight w:val="179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3B5805"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23</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AC7688"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The Role of the Awarding Body</w:t>
            </w:r>
          </w:p>
          <w:p w14:paraId="244C1A85"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16A2355D" w14:textId="77777777" w:rsidR="00414D2E" w:rsidRDefault="00EC6D47">
            <w:pPr>
              <w:pStyle w:val="Standard"/>
              <w:spacing w:after="0" w:line="240" w:lineRule="auto"/>
              <w:rPr>
                <w:rFonts w:ascii="Arial" w:hAnsi="Arial" w:cs="Arial"/>
                <w:sz w:val="24"/>
                <w:szCs w:val="24"/>
              </w:rPr>
            </w:pPr>
            <w:r>
              <w:rPr>
                <w:rFonts w:ascii="Arial" w:hAnsi="Arial" w:cs="Arial"/>
                <w:sz w:val="24"/>
                <w:szCs w:val="24"/>
              </w:rPr>
              <w:t>As the awarding body, Pearson provides a programme of BTEC Higher Nationals offering specialist vocational study at Levels 4 and 5 which reflects the requirement of professional organisations and meets the National Occupational Standards for each sector or industry.</w:t>
            </w:r>
          </w:p>
          <w:p w14:paraId="67E5EA7A" w14:textId="77777777" w:rsidR="00414D2E" w:rsidRDefault="00414D2E">
            <w:pPr>
              <w:pStyle w:val="Standard"/>
              <w:spacing w:after="0" w:line="240" w:lineRule="auto"/>
              <w:rPr>
                <w:rFonts w:ascii="Arial" w:hAnsi="Arial" w:cs="Arial"/>
                <w:sz w:val="24"/>
                <w:szCs w:val="24"/>
              </w:rPr>
            </w:pPr>
          </w:p>
          <w:p w14:paraId="7A614546" w14:textId="77777777" w:rsidR="00414D2E" w:rsidRDefault="00EC6D47">
            <w:pPr>
              <w:pStyle w:val="Standard"/>
              <w:spacing w:after="0" w:line="240" w:lineRule="auto"/>
              <w:rPr>
                <w:rFonts w:ascii="Arial" w:hAnsi="Arial" w:cs="Arial"/>
                <w:sz w:val="24"/>
                <w:szCs w:val="24"/>
              </w:rPr>
            </w:pPr>
            <w:r>
              <w:rPr>
                <w:rFonts w:ascii="Arial" w:hAnsi="Arial" w:cs="Arial"/>
                <w:sz w:val="24"/>
                <w:szCs w:val="24"/>
              </w:rPr>
              <w:t>BTEC Higher Nationals are directly available from Pearson as RQF qualifications.  To offer BTEC Higher Nationals, colleges must have both Centre and Qualification Approval.</w:t>
            </w:r>
          </w:p>
          <w:p w14:paraId="00AB9169" w14:textId="77777777" w:rsidR="00414D2E" w:rsidRDefault="00414D2E">
            <w:pPr>
              <w:pStyle w:val="Standard"/>
              <w:spacing w:after="0" w:line="240" w:lineRule="auto"/>
              <w:rPr>
                <w:rFonts w:ascii="Arial" w:hAnsi="Arial" w:cs="Arial"/>
                <w:sz w:val="24"/>
                <w:szCs w:val="24"/>
              </w:rPr>
            </w:pPr>
          </w:p>
          <w:p w14:paraId="50F609BD" w14:textId="77777777" w:rsidR="00414D2E" w:rsidRDefault="00EC6D47">
            <w:pPr>
              <w:pStyle w:val="Standard"/>
              <w:tabs>
                <w:tab w:val="left" w:pos="720"/>
                <w:tab w:val="left" w:pos="1080"/>
              </w:tabs>
              <w:spacing w:after="0" w:line="240" w:lineRule="auto"/>
              <w:rPr>
                <w:rFonts w:ascii="Arial" w:hAnsi="Arial" w:cs="Arial"/>
                <w:sz w:val="24"/>
                <w:szCs w:val="24"/>
              </w:rPr>
            </w:pPr>
            <w:r>
              <w:rPr>
                <w:rFonts w:ascii="Arial" w:hAnsi="Arial" w:cs="Arial"/>
                <w:sz w:val="24"/>
                <w:szCs w:val="24"/>
              </w:rPr>
              <w:t>Pearson operates a quality assurance system for all BTEC Higher National programmes which ensures that centres have effective quality assurance processes to review programme delivery and that the outcomes of assessment are to national standards.</w:t>
            </w:r>
          </w:p>
          <w:p w14:paraId="09E07207"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tc>
      </w:tr>
      <w:tr w:rsidR="00414D2E" w14:paraId="4D57D8E8" w14:textId="77777777">
        <w:trPr>
          <w:trHeight w:val="1795"/>
          <w:jc w:val="center"/>
        </w:trPr>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FDDBD1"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24</w:t>
            </w:r>
          </w:p>
        </w:tc>
        <w:tc>
          <w:tcPr>
            <w:tcW w:w="100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E6EDCA" w14:textId="77777777" w:rsidR="00414D2E" w:rsidRDefault="00EC6D47">
            <w:pPr>
              <w:pStyle w:val="Standard"/>
              <w:tabs>
                <w:tab w:val="left" w:pos="720"/>
                <w:tab w:val="left" w:pos="1080"/>
              </w:tabs>
              <w:spacing w:after="0" w:line="240" w:lineRule="auto"/>
              <w:rPr>
                <w:rFonts w:ascii="Arial" w:eastAsia="Times New Roman" w:hAnsi="Arial" w:cs="Arial"/>
                <w:b/>
                <w:sz w:val="24"/>
                <w:szCs w:val="24"/>
              </w:rPr>
            </w:pPr>
            <w:r>
              <w:rPr>
                <w:rFonts w:ascii="Arial" w:eastAsia="Times New Roman" w:hAnsi="Arial" w:cs="Arial"/>
                <w:b/>
                <w:sz w:val="24"/>
                <w:szCs w:val="24"/>
              </w:rPr>
              <w:t>External Examination</w:t>
            </w:r>
          </w:p>
          <w:p w14:paraId="153D61E3"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p w14:paraId="6EE0EC8C" w14:textId="77777777" w:rsidR="00414D2E" w:rsidRDefault="00EC6D47">
            <w:pPr>
              <w:pStyle w:val="Standard"/>
              <w:spacing w:after="0" w:line="240" w:lineRule="auto"/>
              <w:rPr>
                <w:rFonts w:ascii="Arial" w:hAnsi="Arial" w:cs="Arial"/>
                <w:sz w:val="24"/>
                <w:szCs w:val="24"/>
              </w:rPr>
            </w:pPr>
            <w:r>
              <w:rPr>
                <w:rFonts w:ascii="Arial" w:hAnsi="Arial" w:cs="Arial"/>
                <w:sz w:val="24"/>
                <w:szCs w:val="24"/>
              </w:rPr>
              <w:t>Pearson assures itself of the standard of provision offered at the College through a series of quality assurance activities, including external examining.</w:t>
            </w:r>
          </w:p>
          <w:p w14:paraId="45DFA1B5" w14:textId="77777777" w:rsidR="00414D2E" w:rsidRDefault="00414D2E">
            <w:pPr>
              <w:pStyle w:val="Standard"/>
              <w:spacing w:after="0" w:line="240" w:lineRule="auto"/>
              <w:rPr>
                <w:rFonts w:ascii="Arial" w:hAnsi="Arial" w:cs="Arial"/>
                <w:sz w:val="24"/>
                <w:szCs w:val="24"/>
              </w:rPr>
            </w:pPr>
          </w:p>
          <w:p w14:paraId="2F4B777E" w14:textId="77777777" w:rsidR="00414D2E" w:rsidRDefault="00EC6D47">
            <w:pPr>
              <w:pStyle w:val="Standard"/>
              <w:spacing w:after="0" w:line="240" w:lineRule="auto"/>
              <w:rPr>
                <w:rFonts w:ascii="Arial" w:hAnsi="Arial" w:cs="Arial"/>
                <w:sz w:val="24"/>
                <w:szCs w:val="24"/>
              </w:rPr>
            </w:pPr>
            <w:r>
              <w:rPr>
                <w:rFonts w:ascii="Arial" w:hAnsi="Arial" w:cs="Arial"/>
                <w:sz w:val="24"/>
                <w:szCs w:val="24"/>
              </w:rPr>
              <w:t>An independent academic, appointed by Pearson/BTEC, visits the College and assures themselves and Pearson/BTEC (via an annual report) of the quality of facilities, academic delivery and student achievement against described standards.</w:t>
            </w:r>
          </w:p>
          <w:p w14:paraId="7D33F556" w14:textId="77777777" w:rsidR="00414D2E" w:rsidRDefault="00414D2E">
            <w:pPr>
              <w:pStyle w:val="Standard"/>
              <w:tabs>
                <w:tab w:val="left" w:pos="720"/>
                <w:tab w:val="left" w:pos="1080"/>
              </w:tabs>
              <w:spacing w:after="0" w:line="240" w:lineRule="auto"/>
              <w:rPr>
                <w:rFonts w:ascii="Arial" w:eastAsia="Times New Roman" w:hAnsi="Arial" w:cs="Arial"/>
                <w:b/>
                <w:sz w:val="24"/>
                <w:szCs w:val="24"/>
              </w:rPr>
            </w:pPr>
          </w:p>
        </w:tc>
      </w:tr>
    </w:tbl>
    <w:p w14:paraId="3E290F14" w14:textId="77777777" w:rsidR="002D3F2F" w:rsidRDefault="002D3F2F">
      <w:pPr>
        <w:sectPr w:rsidR="002D3F2F">
          <w:pgSz w:w="11906" w:h="16838"/>
          <w:pgMar w:top="763" w:right="720" w:bottom="763" w:left="720" w:header="706" w:footer="706" w:gutter="0"/>
          <w:cols w:space="720"/>
        </w:sectPr>
      </w:pPr>
    </w:p>
    <w:p w14:paraId="48344117" w14:textId="77777777" w:rsidR="00414D2E" w:rsidRDefault="00414D2E">
      <w:pPr>
        <w:pStyle w:val="Standard"/>
        <w:tabs>
          <w:tab w:val="left" w:pos="720"/>
          <w:tab w:val="left" w:pos="1080"/>
        </w:tabs>
        <w:spacing w:after="0" w:line="240" w:lineRule="auto"/>
        <w:rPr>
          <w:rFonts w:ascii="Arial" w:eastAsia="Times New Roman" w:hAnsi="Arial" w:cs="Arial"/>
          <w:sz w:val="24"/>
          <w:szCs w:val="24"/>
        </w:rPr>
      </w:pPr>
    </w:p>
    <w:p w14:paraId="17B1EC7E" w14:textId="77777777" w:rsidR="002D3F2F" w:rsidRDefault="002D3F2F">
      <w:pPr>
        <w:sectPr w:rsidR="002D3F2F">
          <w:headerReference w:type="default" r:id="rId16"/>
          <w:footerReference w:type="default" r:id="rId17"/>
          <w:pgSz w:w="16838" w:h="11906" w:orient="landscape"/>
          <w:pgMar w:top="720" w:right="765" w:bottom="720" w:left="765" w:header="720" w:footer="720" w:gutter="0"/>
          <w:cols w:space="720"/>
        </w:sectPr>
      </w:pPr>
    </w:p>
    <w:tbl>
      <w:tblPr>
        <w:tblW w:w="15701" w:type="dxa"/>
        <w:tblInd w:w="-122" w:type="dxa"/>
        <w:tblLayout w:type="fixed"/>
        <w:tblCellMar>
          <w:left w:w="10" w:type="dxa"/>
          <w:right w:w="10" w:type="dxa"/>
        </w:tblCellMar>
        <w:tblLook w:val="0000" w:firstRow="0" w:lastRow="0" w:firstColumn="0" w:lastColumn="0" w:noHBand="0" w:noVBand="0"/>
      </w:tblPr>
      <w:tblGrid>
        <w:gridCol w:w="15701"/>
      </w:tblGrid>
      <w:tr w:rsidR="00414D2E" w14:paraId="3416C252" w14:textId="77777777" w:rsidTr="007310C4">
        <w:trPr>
          <w:trHeight w:val="514"/>
        </w:trPr>
        <w:tc>
          <w:tcPr>
            <w:tcW w:w="15701" w:type="dxa"/>
            <w:tcBorders>
              <w:top w:val="double" w:sz="4" w:space="0" w:color="00000A"/>
              <w:left w:val="doub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14:paraId="1FCA6F26" w14:textId="77777777" w:rsidR="00414D2E" w:rsidRDefault="00EC6D47">
            <w:pPr>
              <w:pStyle w:val="Standard"/>
              <w:keepNext/>
              <w:spacing w:after="0" w:line="240" w:lineRule="auto"/>
              <w:jc w:val="center"/>
            </w:pPr>
            <w:r>
              <w:rPr>
                <w:rFonts w:ascii="Arial" w:eastAsia="Times New Roman" w:hAnsi="Arial" w:cs="Arial"/>
                <w:b/>
                <w:bCs/>
                <w:sz w:val="24"/>
                <w:szCs w:val="24"/>
              </w:rPr>
              <w:t>M</w:t>
            </w:r>
            <w:bookmarkStart w:id="4" w:name="_Ref308702930"/>
            <w:r>
              <w:rPr>
                <w:rFonts w:ascii="Arial" w:eastAsia="Times New Roman" w:hAnsi="Arial" w:cs="Arial"/>
                <w:b/>
                <w:bCs/>
                <w:sz w:val="24"/>
                <w:szCs w:val="24"/>
              </w:rPr>
              <w:t>ap of Outcomes to Units</w:t>
            </w:r>
            <w:bookmarkEnd w:id="4"/>
          </w:p>
        </w:tc>
      </w:tr>
    </w:tbl>
    <w:p w14:paraId="6829A27F" w14:textId="77777777" w:rsidR="00414D2E" w:rsidRDefault="00414D2E">
      <w:pPr>
        <w:pStyle w:val="Standard"/>
        <w:tabs>
          <w:tab w:val="left" w:pos="720"/>
          <w:tab w:val="left" w:pos="1080"/>
        </w:tabs>
        <w:spacing w:after="0" w:line="240" w:lineRule="auto"/>
        <w:rPr>
          <w:rFonts w:ascii="Arial" w:eastAsia="Times New Roman" w:hAnsi="Arial" w:cs="Arial"/>
          <w:sz w:val="12"/>
          <w:szCs w:val="12"/>
        </w:rPr>
      </w:pPr>
    </w:p>
    <w:p w14:paraId="1338FD01" w14:textId="77777777" w:rsidR="00850F73" w:rsidRDefault="00850F73" w:rsidP="00850F73">
      <w:pPr>
        <w:pStyle w:val="Standard"/>
        <w:tabs>
          <w:tab w:val="left" w:pos="720"/>
          <w:tab w:val="left" w:pos="1080"/>
        </w:tabs>
        <w:spacing w:after="0" w:line="240" w:lineRule="auto"/>
        <w:rPr>
          <w:rFonts w:ascii="Arial" w:eastAsia="Times New Roman" w:hAnsi="Arial" w:cs="Arial"/>
          <w:sz w:val="12"/>
          <w:szCs w:val="12"/>
        </w:rPr>
      </w:pPr>
    </w:p>
    <w:tbl>
      <w:tblPr>
        <w:tblW w:w="5000" w:type="pct"/>
        <w:tblLayout w:type="fixed"/>
        <w:tblCellMar>
          <w:left w:w="10" w:type="dxa"/>
          <w:right w:w="10" w:type="dxa"/>
        </w:tblCellMar>
        <w:tblLook w:val="0000" w:firstRow="0" w:lastRow="0" w:firstColumn="0" w:lastColumn="0" w:noHBand="0" w:noVBand="0"/>
      </w:tblPr>
      <w:tblGrid>
        <w:gridCol w:w="1652"/>
        <w:gridCol w:w="418"/>
        <w:gridCol w:w="377"/>
        <w:gridCol w:w="377"/>
        <w:gridCol w:w="377"/>
        <w:gridCol w:w="377"/>
        <w:gridCol w:w="377"/>
        <w:gridCol w:w="377"/>
        <w:gridCol w:w="377"/>
        <w:gridCol w:w="377"/>
        <w:gridCol w:w="377"/>
        <w:gridCol w:w="379"/>
        <w:gridCol w:w="378"/>
        <w:gridCol w:w="378"/>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0"/>
      </w:tblGrid>
      <w:tr w:rsidR="00850F73" w14:paraId="148A0301" w14:textId="77777777" w:rsidTr="00276563">
        <w:trPr>
          <w:trHeight w:val="549"/>
          <w:tblHead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BC79" w14:textId="77777777" w:rsidR="00850F73" w:rsidRDefault="00850F73" w:rsidP="00276563">
            <w:pPr>
              <w:pStyle w:val="Standard"/>
              <w:tabs>
                <w:tab w:val="left" w:pos="720"/>
                <w:tab w:val="left" w:pos="1080"/>
              </w:tabs>
              <w:spacing w:after="0" w:line="240" w:lineRule="auto"/>
              <w:rPr>
                <w:rFonts w:ascii="Arial" w:eastAsia="Times New Roman" w:hAnsi="Arial" w:cs="Arial"/>
                <w:sz w:val="12"/>
                <w:szCs w:val="12"/>
              </w:rPr>
            </w:pPr>
          </w:p>
        </w:tc>
        <w:tc>
          <w:tcPr>
            <w:tcW w:w="419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2EC5" w14:textId="77777777" w:rsidR="00850F73" w:rsidRDefault="00850F73" w:rsidP="00276563">
            <w:pPr>
              <w:pStyle w:val="Standard"/>
              <w:tabs>
                <w:tab w:val="left" w:pos="720"/>
                <w:tab w:val="left" w:pos="1080"/>
              </w:tabs>
              <w:spacing w:after="0" w:line="240" w:lineRule="auto"/>
              <w:jc w:val="center"/>
              <w:rPr>
                <w:rFonts w:eastAsia="Times New Roman" w:cs="Arial"/>
                <w:b/>
                <w:sz w:val="20"/>
                <w:szCs w:val="20"/>
              </w:rPr>
            </w:pPr>
            <w:r>
              <w:rPr>
                <w:rFonts w:eastAsia="Times New Roman" w:cs="Arial"/>
                <w:b/>
                <w:sz w:val="20"/>
                <w:szCs w:val="20"/>
              </w:rPr>
              <w:t>Knowledge and Understanding</w:t>
            </w:r>
          </w:p>
        </w:tc>
        <w:tc>
          <w:tcPr>
            <w:tcW w:w="34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C19FB" w14:textId="77777777" w:rsidR="00850F73" w:rsidRDefault="00850F73" w:rsidP="00276563">
            <w:pPr>
              <w:pStyle w:val="Standard"/>
              <w:tabs>
                <w:tab w:val="left" w:pos="720"/>
                <w:tab w:val="left" w:pos="1080"/>
              </w:tabs>
              <w:spacing w:after="0" w:line="240" w:lineRule="auto"/>
              <w:jc w:val="center"/>
              <w:rPr>
                <w:rFonts w:eastAsia="Times New Roman" w:cs="Arial"/>
                <w:b/>
                <w:sz w:val="20"/>
                <w:szCs w:val="20"/>
              </w:rPr>
            </w:pPr>
            <w:r>
              <w:rPr>
                <w:rFonts w:eastAsia="Times New Roman" w:cs="Arial"/>
                <w:b/>
                <w:sz w:val="20"/>
                <w:szCs w:val="20"/>
              </w:rPr>
              <w:t>Cognitive Skills</w:t>
            </w:r>
          </w:p>
        </w:tc>
        <w:tc>
          <w:tcPr>
            <w:tcW w:w="15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D6091" w14:textId="77777777" w:rsidR="00850F73" w:rsidRDefault="00850F73" w:rsidP="00276563">
            <w:pPr>
              <w:pStyle w:val="Standard"/>
              <w:tabs>
                <w:tab w:val="left" w:pos="720"/>
                <w:tab w:val="left" w:pos="1080"/>
              </w:tabs>
              <w:spacing w:after="0" w:line="240" w:lineRule="auto"/>
              <w:jc w:val="center"/>
              <w:rPr>
                <w:rFonts w:eastAsia="Times New Roman" w:cs="Arial"/>
                <w:b/>
                <w:sz w:val="20"/>
                <w:szCs w:val="20"/>
              </w:rPr>
            </w:pPr>
            <w:r>
              <w:rPr>
                <w:rFonts w:eastAsia="Times New Roman" w:cs="Arial"/>
                <w:b/>
                <w:sz w:val="20"/>
                <w:szCs w:val="20"/>
              </w:rPr>
              <w:t>Applied Skills</w:t>
            </w:r>
          </w:p>
        </w:tc>
        <w:tc>
          <w:tcPr>
            <w:tcW w:w="45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E5EDD" w14:textId="77777777" w:rsidR="00850F73" w:rsidRDefault="00850F73" w:rsidP="00276563">
            <w:pPr>
              <w:pStyle w:val="Standard"/>
              <w:tabs>
                <w:tab w:val="left" w:pos="720"/>
                <w:tab w:val="left" w:pos="1080"/>
              </w:tabs>
              <w:spacing w:after="0" w:line="240" w:lineRule="auto"/>
              <w:jc w:val="center"/>
            </w:pPr>
            <w:r>
              <w:rPr>
                <w:rFonts w:eastAsia="Times New Roman" w:cs="Arial"/>
                <w:b/>
                <w:sz w:val="20"/>
                <w:szCs w:val="20"/>
              </w:rPr>
              <w:t>Transferable Skills</w:t>
            </w:r>
          </w:p>
        </w:tc>
      </w:tr>
      <w:tr w:rsidR="00850F73" w14:paraId="293F1828" w14:textId="77777777" w:rsidTr="00276563">
        <w:trPr>
          <w:trHeight w:val="549"/>
          <w:tblHead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F21E" w14:textId="77777777" w:rsidR="00850F73" w:rsidRDefault="00850F73" w:rsidP="00276563">
            <w:pPr>
              <w:pStyle w:val="Standard"/>
              <w:tabs>
                <w:tab w:val="left" w:pos="720"/>
                <w:tab w:val="left" w:pos="1080"/>
              </w:tabs>
              <w:spacing w:after="0" w:line="240" w:lineRule="auto"/>
              <w:rPr>
                <w:rFonts w:ascii="Arial" w:eastAsia="Times New Roman" w:hAnsi="Arial" w:cs="Arial"/>
                <w:sz w:val="12"/>
                <w:szCs w:val="12"/>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21795"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KU1</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F68D3"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KU2</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53B3E"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KU3</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EBC80"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KU4</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24176"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KU5</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5FFDE"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KU6</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5C3BC"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KU7</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2F1B5"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KU8</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F65DA"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KU9</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31F69"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w:t>
            </w:r>
          </w:p>
          <w:p w14:paraId="2B08B000"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10</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4B3F7"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KU</w:t>
            </w:r>
          </w:p>
          <w:p w14:paraId="5788B48A"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11</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2F99C"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CS1</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EA997"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CS2</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CF07A"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CS3</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645F"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CS4</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1414B"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CS5</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2973D"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CS6</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0D374"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CS7</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CF03E"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CS8</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951F7"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CS9</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A4999"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AS1</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63664"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AS2</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182EE"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AS3</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8ADD2"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AS4</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0FE18"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TS1</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0D062"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TS2</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73A1C"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TS3</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1D56"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TS4</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B4BEE"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TS5</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C9B49"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TS6</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E37B4"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TS7</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BDBB7"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TS8</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8E7E7"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TS9</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55C64"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TS10</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62923"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TS11</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5287D" w14:textId="77777777" w:rsidR="00850F73" w:rsidRDefault="00850F73" w:rsidP="00276563">
            <w:pPr>
              <w:pStyle w:val="Standard"/>
              <w:tabs>
                <w:tab w:val="left" w:pos="720"/>
                <w:tab w:val="left" w:pos="1080"/>
              </w:tabs>
              <w:spacing w:after="0" w:line="240" w:lineRule="auto"/>
              <w:rPr>
                <w:rFonts w:eastAsia="Times New Roman" w:cs="Arial"/>
                <w:sz w:val="16"/>
                <w:szCs w:val="16"/>
              </w:rPr>
            </w:pPr>
            <w:r>
              <w:rPr>
                <w:rFonts w:eastAsia="Times New Roman" w:cs="Arial"/>
                <w:sz w:val="16"/>
                <w:szCs w:val="16"/>
              </w:rPr>
              <w:t>TS12</w:t>
            </w:r>
          </w:p>
        </w:tc>
      </w:tr>
      <w:tr w:rsidR="00850F73" w14:paraId="04F060A1" w14:textId="77777777" w:rsidTr="00276563">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E7AB7"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L4 Unit 1</w:t>
            </w:r>
          </w:p>
          <w:p w14:paraId="1906A390"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Engineering Design</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802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99AB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1AD8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293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B3C4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3626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2ECA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C7C7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6A0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0653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88EC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A5C4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316E4"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1EF6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A6D0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5964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43CB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97D5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B26A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60A7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D3DF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0184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0684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821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4E12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EA0D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CFB6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540B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14D7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631B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DFEA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EA62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9187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B343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FE0C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FEDB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r>
      <w:tr w:rsidR="00850F73" w14:paraId="07BBCC2E" w14:textId="77777777" w:rsidTr="00276563">
        <w:trPr>
          <w:trHeight w:val="907"/>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A25C"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L4 Unit 2</w:t>
            </w:r>
          </w:p>
          <w:p w14:paraId="63DC5ACB"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Engineering Maths</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4008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417C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0E8A4"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989A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2E71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7783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C767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9261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82EE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443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2965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ECB6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AD4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DFAA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59B6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89EB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E48C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896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0EF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5D0A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275F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4D37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10F0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BCC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A4AA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EF9C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277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0824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1CDC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472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6604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998E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CC15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13EF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9F514"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BEE9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r>
      <w:tr w:rsidR="00850F73" w14:paraId="77744F60" w14:textId="77777777" w:rsidTr="00276563">
        <w:trPr>
          <w:trHeight w:val="875"/>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4A739"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L4 Unit 3</w:t>
            </w:r>
          </w:p>
          <w:p w14:paraId="43E01D7C"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Engineering Science</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7E77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80D7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92F0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CEA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9D1D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3759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368C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7F11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9B64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3C73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DA27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F0FF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3606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7013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5E5E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2C49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C824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E380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84FC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8E95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CB85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81C7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8288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7276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F26A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9DFA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5081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53E9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E081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8EB7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D116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1CE4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1BB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7264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5190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550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r>
      <w:tr w:rsidR="00850F73" w14:paraId="25502A7A" w14:textId="77777777" w:rsidTr="00276563">
        <w:trPr>
          <w:trHeight w:val="984"/>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6018C"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L4 Unit 4</w:t>
            </w:r>
          </w:p>
          <w:p w14:paraId="1B463273"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Managing a Professional Engineering Project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A306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DC5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42E3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D307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9528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08E5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266E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2224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8E0E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87D64"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F5B1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7560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D2DD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4EB3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0BA2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353B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EBD7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743F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1EE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225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20D9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0FC8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3AAB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A189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EED7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9DCE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D6E5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F4F0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6D12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36FD4"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6191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E6C8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BF6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9A10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050C"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57B1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r>
      <w:tr w:rsidR="00850F73" w14:paraId="3DE7BFAC" w14:textId="77777777" w:rsidTr="00276563">
        <w:trPr>
          <w:trHeight w:val="984"/>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A4D3C" w14:textId="77777777" w:rsidR="00850F73" w:rsidRPr="00016303" w:rsidRDefault="00850F73" w:rsidP="00276563">
            <w:pPr>
              <w:pStyle w:val="Standard"/>
              <w:tabs>
                <w:tab w:val="left" w:pos="720"/>
                <w:tab w:val="left" w:pos="1080"/>
              </w:tabs>
              <w:spacing w:after="0" w:line="240" w:lineRule="auto"/>
              <w:rPr>
                <w:rFonts w:eastAsia="Times New Roman" w:cs="Arial"/>
                <w:sz w:val="20"/>
                <w:szCs w:val="20"/>
              </w:rPr>
            </w:pPr>
            <w:r w:rsidRPr="00016303">
              <w:rPr>
                <w:rFonts w:eastAsia="Times New Roman" w:cs="Arial"/>
                <w:sz w:val="20"/>
                <w:szCs w:val="20"/>
              </w:rPr>
              <w:t>L4 Unit 13:</w:t>
            </w:r>
          </w:p>
          <w:p w14:paraId="61F1B223" w14:textId="77777777" w:rsidR="00850F73" w:rsidRPr="00016303" w:rsidRDefault="00850F73" w:rsidP="00276563">
            <w:pPr>
              <w:pStyle w:val="Standard"/>
              <w:tabs>
                <w:tab w:val="left" w:pos="720"/>
                <w:tab w:val="left" w:pos="1080"/>
              </w:tabs>
              <w:spacing w:after="0" w:line="240" w:lineRule="auto"/>
              <w:rPr>
                <w:rFonts w:eastAsia="Times New Roman" w:cs="Arial"/>
                <w:sz w:val="20"/>
                <w:szCs w:val="20"/>
              </w:rPr>
            </w:pPr>
            <w:r w:rsidRPr="00016303">
              <w:rPr>
                <w:rFonts w:eastAsia="Times New Roman" w:cs="Arial"/>
                <w:sz w:val="20"/>
                <w:szCs w:val="20"/>
              </w:rPr>
              <w:t>Fundamentals of Thermodynamics and Heat Engines</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BE387"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45A5B"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B2443"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AD198"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770FD"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6594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CAC14"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22B39"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0E6C6"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21532"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3DBC8"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35F79"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27A4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B18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9E5C1" w14:textId="77777777" w:rsidR="00850F73" w:rsidRPr="00525A0D" w:rsidRDefault="00850F73" w:rsidP="00276563">
            <w:pPr>
              <w:pStyle w:val="Standard"/>
              <w:tabs>
                <w:tab w:val="left" w:pos="720"/>
                <w:tab w:val="left" w:pos="1080"/>
              </w:tabs>
              <w:spacing w:after="0" w:line="240" w:lineRule="auto"/>
              <w:rPr>
                <w:rFonts w:ascii="Arial" w:eastAsia="Times New Roman" w:hAnsi="Arial" w:cs="Arial"/>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093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F20D4"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B63A4"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A89B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AE37"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2414E"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0388E"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69D05"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27EFD"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E9643"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766D3"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0885D"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C3E36"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B8312"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02122"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3D5C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8850"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34E6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3FAD2"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1A9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BC816"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r>
      <w:tr w:rsidR="00850F73" w14:paraId="2B1F403C" w14:textId="77777777" w:rsidTr="00276563">
        <w:trPr>
          <w:trHeight w:val="851"/>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0EE7D" w14:textId="77777777" w:rsidR="00850F73" w:rsidRPr="004B6E3A" w:rsidRDefault="00850F73" w:rsidP="00276563">
            <w:pPr>
              <w:pStyle w:val="Standard"/>
              <w:tabs>
                <w:tab w:val="left" w:pos="720"/>
                <w:tab w:val="left" w:pos="1080"/>
              </w:tabs>
              <w:spacing w:after="0" w:line="240" w:lineRule="auto"/>
              <w:rPr>
                <w:rFonts w:eastAsia="Times New Roman" w:cs="Arial"/>
                <w:sz w:val="20"/>
                <w:szCs w:val="20"/>
              </w:rPr>
            </w:pPr>
            <w:r w:rsidRPr="004B6E3A">
              <w:rPr>
                <w:rFonts w:eastAsia="Times New Roman" w:cs="Arial"/>
                <w:sz w:val="20"/>
                <w:szCs w:val="20"/>
              </w:rPr>
              <w:t xml:space="preserve">L4 Unit 17 </w:t>
            </w:r>
          </w:p>
          <w:p w14:paraId="64BA3CC6" w14:textId="77777777" w:rsidR="00850F73" w:rsidRPr="004B6E3A" w:rsidRDefault="00850F73" w:rsidP="00276563">
            <w:pPr>
              <w:pStyle w:val="Standard"/>
              <w:tabs>
                <w:tab w:val="left" w:pos="720"/>
                <w:tab w:val="left" w:pos="1080"/>
              </w:tabs>
              <w:spacing w:after="0" w:line="240" w:lineRule="auto"/>
              <w:rPr>
                <w:rFonts w:eastAsia="Times New Roman" w:cs="Arial"/>
                <w:sz w:val="20"/>
                <w:szCs w:val="20"/>
              </w:rPr>
            </w:pPr>
            <w:r w:rsidRPr="004B6E3A">
              <w:rPr>
                <w:rFonts w:eastAsia="Times New Roman" w:cs="Arial"/>
                <w:sz w:val="20"/>
                <w:szCs w:val="20"/>
              </w:rPr>
              <w:t>Quality and Process Improvement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A7270"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50BDB"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489E0"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A54D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6206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64797"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557D4"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7300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C92D"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47925"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6A50"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723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1FBE1"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8B44B"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54A6" w14:textId="77777777" w:rsidR="00850F73" w:rsidRPr="00525A0D" w:rsidRDefault="00850F73" w:rsidP="00276563">
            <w:pPr>
              <w:pStyle w:val="Standard"/>
              <w:tabs>
                <w:tab w:val="left" w:pos="720"/>
                <w:tab w:val="left" w:pos="1080"/>
              </w:tabs>
              <w:spacing w:after="0" w:line="240" w:lineRule="auto"/>
              <w:rPr>
                <w:rFonts w:ascii="Arial" w:eastAsia="Times New Roman" w:hAnsi="Arial" w:cs="Arial"/>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12F03"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53D3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B1B02"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8115E"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FD5E"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ADE29"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8AA9"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93EF9"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BE88"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74CB6"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6ABC6"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8939D"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3A8DA"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1A397"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D9D04"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D6F08"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951D0"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44C1E"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sidRPr="00525A0D">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8CD2C"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40C9D"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4D7FF" w14:textId="77777777" w:rsidR="00850F73" w:rsidRPr="00525A0D"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r>
      <w:tr w:rsidR="00850F73" w14:paraId="15961BD5" w14:textId="77777777" w:rsidTr="00276563">
        <w:trPr>
          <w:trHeight w:val="851"/>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FF52B"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L4 Unit 19</w:t>
            </w:r>
          </w:p>
          <w:p w14:paraId="589D5560"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Electrical and Electronic Principles</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12D2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DEC8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7320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751F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F801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2B22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3EF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481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030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2872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8E65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C63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9BB9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EA13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BA38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C749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290B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6829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9B7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2540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DD5E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2C39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69A8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2EDB4"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6094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FB2E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013C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37F6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C530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A635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461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A992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23AD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93E6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CA50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D7A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r>
      <w:tr w:rsidR="00850F73" w14:paraId="2DDC6BC5" w14:textId="77777777" w:rsidTr="00276563">
        <w:trPr>
          <w:cantSplit/>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8A41"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lastRenderedPageBreak/>
              <w:t>L4 Unit 22</w:t>
            </w:r>
          </w:p>
          <w:p w14:paraId="07E2AB38" w14:textId="77777777" w:rsidR="00850F73" w:rsidRDefault="00850F73" w:rsidP="00276563">
            <w:pPr>
              <w:pStyle w:val="Standard"/>
              <w:tabs>
                <w:tab w:val="left" w:pos="720"/>
                <w:tab w:val="left" w:pos="1080"/>
              </w:tabs>
              <w:spacing w:after="0" w:line="240" w:lineRule="auto"/>
              <w:rPr>
                <w:rFonts w:eastAsia="Times New Roman" w:cs="Arial"/>
                <w:sz w:val="20"/>
                <w:szCs w:val="20"/>
              </w:rPr>
            </w:pPr>
            <w:r w:rsidRPr="00DB3FEB">
              <w:rPr>
                <w:rFonts w:eastAsia="Times New Roman" w:cs="Arial"/>
                <w:sz w:val="20"/>
                <w:szCs w:val="20"/>
              </w:rPr>
              <w:t>Electronic Circuits and Devices</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F4163"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C35B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5F45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B8A4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52D3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A71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426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908F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AD78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A6AE6"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3B6E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D4C8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E9B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F379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4B6C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5EEF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CD29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8D84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E2DAE"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B38C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E694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9EF6F"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34DF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2D200"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F189A"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F942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46015"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E86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DE0E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8D329"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980F2"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48E78"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A612B"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E84B7"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62F01"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20FD" w14:textId="77777777" w:rsidR="00850F73" w:rsidRDefault="00850F73" w:rsidP="00276563">
            <w:pPr>
              <w:pStyle w:val="Standard"/>
              <w:tabs>
                <w:tab w:val="left" w:pos="720"/>
                <w:tab w:val="left" w:pos="1080"/>
              </w:tabs>
              <w:spacing w:after="0" w:line="240" w:lineRule="auto"/>
              <w:jc w:val="center"/>
              <w:rPr>
                <w:rFonts w:ascii="Arial" w:eastAsia="Times New Roman" w:hAnsi="Arial" w:cs="Arial"/>
                <w:b/>
                <w:sz w:val="16"/>
                <w:szCs w:val="16"/>
              </w:rPr>
            </w:pPr>
          </w:p>
        </w:tc>
      </w:tr>
    </w:tbl>
    <w:p w14:paraId="313873B0" w14:textId="77777777" w:rsidR="008D15D3" w:rsidRDefault="008D15D3" w:rsidP="00850F73">
      <w:pPr>
        <w:pStyle w:val="Standard"/>
        <w:sectPr w:rsidR="008D15D3">
          <w:type w:val="continuous"/>
          <w:pgSz w:w="16838" w:h="11906" w:orient="landscape"/>
          <w:pgMar w:top="720" w:right="765" w:bottom="720" w:left="765" w:header="720" w:footer="720" w:gutter="0"/>
          <w:cols w:space="720"/>
        </w:sectPr>
      </w:pPr>
    </w:p>
    <w:p w14:paraId="204BD2C2" w14:textId="77777777" w:rsidR="00414D2E" w:rsidRDefault="00414D2E">
      <w:pPr>
        <w:pStyle w:val="Standard"/>
        <w:tabs>
          <w:tab w:val="left" w:pos="720"/>
          <w:tab w:val="left" w:pos="1080"/>
        </w:tabs>
        <w:spacing w:after="0" w:line="240" w:lineRule="auto"/>
        <w:rPr>
          <w:rFonts w:ascii="Arial" w:eastAsia="Times New Roman" w:hAnsi="Arial" w:cs="Arial"/>
          <w:sz w:val="12"/>
          <w:szCs w:val="12"/>
        </w:rPr>
      </w:pPr>
    </w:p>
    <w:tbl>
      <w:tblPr>
        <w:tblW w:w="5000" w:type="pct"/>
        <w:tblLayout w:type="fixed"/>
        <w:tblCellMar>
          <w:left w:w="10" w:type="dxa"/>
          <w:right w:w="10" w:type="dxa"/>
        </w:tblCellMar>
        <w:tblLook w:val="0000" w:firstRow="0" w:lastRow="0" w:firstColumn="0" w:lastColumn="0" w:noHBand="0" w:noVBand="0"/>
      </w:tblPr>
      <w:tblGrid>
        <w:gridCol w:w="1540"/>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3"/>
        <w:gridCol w:w="383"/>
        <w:gridCol w:w="383"/>
        <w:gridCol w:w="383"/>
        <w:gridCol w:w="383"/>
        <w:gridCol w:w="383"/>
        <w:gridCol w:w="383"/>
        <w:gridCol w:w="383"/>
        <w:gridCol w:w="383"/>
        <w:gridCol w:w="383"/>
        <w:gridCol w:w="383"/>
        <w:gridCol w:w="383"/>
        <w:gridCol w:w="383"/>
        <w:gridCol w:w="383"/>
        <w:gridCol w:w="374"/>
      </w:tblGrid>
      <w:tr w:rsidR="00414D2E" w14:paraId="6579B29D" w14:textId="77777777" w:rsidTr="00E1476D">
        <w:trPr>
          <w:trHeight w:val="549"/>
          <w:tblHead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102E" w14:textId="77777777" w:rsidR="00414D2E" w:rsidRDefault="00414D2E">
            <w:pPr>
              <w:pStyle w:val="Standard"/>
              <w:tabs>
                <w:tab w:val="left" w:pos="720"/>
                <w:tab w:val="left" w:pos="1080"/>
              </w:tabs>
              <w:spacing w:after="0" w:line="240" w:lineRule="auto"/>
              <w:rPr>
                <w:rFonts w:ascii="Arial" w:eastAsia="Times New Roman" w:hAnsi="Arial" w:cs="Arial"/>
                <w:sz w:val="12"/>
                <w:szCs w:val="12"/>
              </w:rPr>
            </w:pPr>
          </w:p>
        </w:tc>
        <w:tc>
          <w:tcPr>
            <w:tcW w:w="420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674ED" w14:textId="77777777" w:rsidR="00414D2E" w:rsidRDefault="00EC6D47" w:rsidP="00E1476D">
            <w:pPr>
              <w:pStyle w:val="Standard"/>
              <w:tabs>
                <w:tab w:val="left" w:pos="720"/>
                <w:tab w:val="left" w:pos="1080"/>
              </w:tabs>
              <w:spacing w:after="0" w:line="240" w:lineRule="auto"/>
              <w:jc w:val="center"/>
              <w:rPr>
                <w:rFonts w:eastAsia="Times New Roman" w:cs="Arial"/>
                <w:b/>
                <w:sz w:val="20"/>
                <w:szCs w:val="20"/>
              </w:rPr>
            </w:pPr>
            <w:r>
              <w:rPr>
                <w:rFonts w:eastAsia="Times New Roman" w:cs="Arial"/>
                <w:b/>
                <w:sz w:val="20"/>
                <w:szCs w:val="20"/>
              </w:rPr>
              <w:t>Knowledge and Understanding</w:t>
            </w:r>
          </w:p>
        </w:tc>
        <w:tc>
          <w:tcPr>
            <w:tcW w:w="343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07520" w14:textId="77777777" w:rsidR="00414D2E" w:rsidRDefault="00EC6D47" w:rsidP="00E1476D">
            <w:pPr>
              <w:pStyle w:val="Standard"/>
              <w:tabs>
                <w:tab w:val="left" w:pos="720"/>
                <w:tab w:val="left" w:pos="1080"/>
              </w:tabs>
              <w:spacing w:after="0" w:line="240" w:lineRule="auto"/>
              <w:jc w:val="center"/>
              <w:rPr>
                <w:rFonts w:eastAsia="Times New Roman" w:cs="Arial"/>
                <w:b/>
                <w:sz w:val="20"/>
                <w:szCs w:val="20"/>
              </w:rPr>
            </w:pPr>
            <w:r>
              <w:rPr>
                <w:rFonts w:eastAsia="Times New Roman" w:cs="Arial"/>
                <w:b/>
                <w:sz w:val="20"/>
                <w:szCs w:val="20"/>
              </w:rPr>
              <w:t>Cognitive Skills</w:t>
            </w:r>
          </w:p>
        </w:tc>
        <w:tc>
          <w:tcPr>
            <w:tcW w:w="1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A1BF9" w14:textId="77777777" w:rsidR="00414D2E" w:rsidRDefault="00EC6D47" w:rsidP="00E1476D">
            <w:pPr>
              <w:pStyle w:val="Standard"/>
              <w:tabs>
                <w:tab w:val="left" w:pos="720"/>
                <w:tab w:val="left" w:pos="1080"/>
              </w:tabs>
              <w:spacing w:after="0" w:line="240" w:lineRule="auto"/>
              <w:jc w:val="center"/>
              <w:rPr>
                <w:rFonts w:eastAsia="Times New Roman" w:cs="Arial"/>
                <w:b/>
                <w:sz w:val="20"/>
                <w:szCs w:val="20"/>
              </w:rPr>
            </w:pPr>
            <w:r>
              <w:rPr>
                <w:rFonts w:eastAsia="Times New Roman" w:cs="Arial"/>
                <w:b/>
                <w:sz w:val="20"/>
                <w:szCs w:val="20"/>
              </w:rPr>
              <w:t>Applied Skills</w:t>
            </w:r>
          </w:p>
        </w:tc>
        <w:tc>
          <w:tcPr>
            <w:tcW w:w="458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00703" w14:textId="77777777" w:rsidR="00414D2E" w:rsidRDefault="00EC6D47" w:rsidP="00E1476D">
            <w:pPr>
              <w:pStyle w:val="Standard"/>
              <w:tabs>
                <w:tab w:val="left" w:pos="720"/>
                <w:tab w:val="left" w:pos="1080"/>
              </w:tabs>
              <w:spacing w:after="0" w:line="240" w:lineRule="auto"/>
              <w:jc w:val="center"/>
            </w:pPr>
            <w:r>
              <w:rPr>
                <w:rFonts w:eastAsia="Times New Roman" w:cs="Arial"/>
                <w:b/>
                <w:sz w:val="20"/>
                <w:szCs w:val="20"/>
              </w:rPr>
              <w:t>Transferable Skills</w:t>
            </w:r>
          </w:p>
        </w:tc>
      </w:tr>
      <w:tr w:rsidR="001778B0" w14:paraId="799EE451" w14:textId="77777777" w:rsidTr="00E1476D">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6178A" w14:textId="77777777" w:rsidR="001778B0" w:rsidRDefault="001778B0" w:rsidP="001778B0">
            <w:pPr>
              <w:pStyle w:val="Standard"/>
              <w:tabs>
                <w:tab w:val="left" w:pos="720"/>
                <w:tab w:val="left" w:pos="1080"/>
              </w:tabs>
              <w:spacing w:after="0" w:line="240" w:lineRule="auto"/>
              <w:rPr>
                <w:rFonts w:eastAsia="Times New Roman" w:cs="Arial"/>
                <w:sz w:val="20"/>
                <w:szCs w:val="20"/>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1CF31"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1</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5E46"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B643E"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3</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17CEF"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4</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2B191"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5</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2F239"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6</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359F0"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7</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E0EE1"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8</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D742E"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9</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EC327"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10</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1A315"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11</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A3678"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1</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86B45"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2</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7E918"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3</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60BF2"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4</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50EAB"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5</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0821A"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6</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BD9F8"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7</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5AD40"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8</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445E6"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9</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2D45"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1</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78A0E"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2</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82629"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3</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CBC1A" w14:textId="77777777" w:rsidR="001778B0" w:rsidRDefault="001778B0" w:rsidP="001778B0">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4</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8F6AD"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1</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C44C2"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2</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68E43"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3</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5443"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4</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989D2"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5</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92452"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6</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07E6"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7</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2DF8B"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8</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69AEF"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9</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28894"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10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E9A17" w14:textId="77777777"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11</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A35CE" w14:textId="39FB4656" w:rsidR="001778B0" w:rsidRPr="001778B0" w:rsidRDefault="001778B0" w:rsidP="00E1476D">
            <w:pPr>
              <w:pStyle w:val="Standard"/>
              <w:tabs>
                <w:tab w:val="left" w:pos="720"/>
                <w:tab w:val="left" w:pos="1080"/>
              </w:tabs>
              <w:spacing w:after="0" w:line="240" w:lineRule="auto"/>
              <w:jc w:val="center"/>
              <w:rPr>
                <w:rFonts w:ascii="Arial" w:eastAsia="Times New Roman" w:hAnsi="Arial" w:cs="Arial"/>
                <w:b/>
                <w:sz w:val="16"/>
                <w:szCs w:val="16"/>
              </w:rPr>
            </w:pPr>
            <w:r w:rsidRPr="001778B0">
              <w:rPr>
                <w:rFonts w:ascii="Arial" w:eastAsia="Times New Roman" w:hAnsi="Arial" w:cs="Arial"/>
                <w:b/>
                <w:sz w:val="16"/>
                <w:szCs w:val="16"/>
              </w:rPr>
              <w:t>1</w:t>
            </w:r>
            <w:r w:rsidR="001113EE">
              <w:rPr>
                <w:rFonts w:ascii="Arial" w:eastAsia="Times New Roman" w:hAnsi="Arial" w:cs="Arial"/>
                <w:b/>
                <w:sz w:val="16"/>
                <w:szCs w:val="16"/>
              </w:rPr>
              <w:t>2</w:t>
            </w:r>
          </w:p>
        </w:tc>
      </w:tr>
      <w:tr w:rsidR="00C679FD" w14:paraId="2613F6DE" w14:textId="77777777" w:rsidTr="003F04BA">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9F860"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L5 Unit 34</w:t>
            </w:r>
          </w:p>
          <w:p w14:paraId="16AA6BF2"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Research Project</w:t>
            </w:r>
          </w:p>
          <w:p w14:paraId="22FBDA10" w14:textId="77777777" w:rsidR="00C679FD" w:rsidRDefault="00C679FD">
            <w:pPr>
              <w:pStyle w:val="Standard"/>
              <w:tabs>
                <w:tab w:val="left" w:pos="720"/>
                <w:tab w:val="left" w:pos="1080"/>
              </w:tabs>
              <w:spacing w:after="0" w:line="240" w:lineRule="auto"/>
              <w:rPr>
                <w:rFonts w:eastAsia="Times New Roman" w:cs="Arial"/>
                <w:sz w:val="20"/>
                <w:szCs w:val="20"/>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65A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DFA0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DE57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9CB6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DAE0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8FF9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1B8D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CF56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86C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32F2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4CC8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6227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5128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3F8E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1143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F27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F4E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F80F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2FE5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4001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4137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BEDB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C2AE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69F1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1C74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63EF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B4E1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FE06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16E6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4E68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31C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B332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617D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C6CB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28BE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D1ED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r>
      <w:tr w:rsidR="00C679FD" w14:paraId="2ED44DFB" w14:textId="77777777" w:rsidTr="003F04BA">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26C4D"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L5 Unit 35</w:t>
            </w:r>
          </w:p>
          <w:p w14:paraId="7D31B503"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Professional Engineering Management</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A3BA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EA65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F63F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BD6C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B390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8A0B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B0D2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5A97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297D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7DEA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4D5C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A64E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E1B8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3F96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447C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16E5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2AE1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C66F7"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6F2B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9256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D981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1A8B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4AF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21747"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F82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BA1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3620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4EC2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3874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A8297"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0D11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2517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C5AE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963B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2EB4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8B21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r>
      <w:tr w:rsidR="00430D04" w14:paraId="5985FEB8" w14:textId="77777777" w:rsidTr="003F04BA">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CABA4" w14:textId="77777777" w:rsidR="00430D04" w:rsidRDefault="00430D04" w:rsidP="00430D04">
            <w:pPr>
              <w:pStyle w:val="Standard"/>
              <w:tabs>
                <w:tab w:val="left" w:pos="720"/>
                <w:tab w:val="left" w:pos="1080"/>
              </w:tabs>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L5 Unit 37</w:t>
            </w:r>
          </w:p>
          <w:p w14:paraId="5CFDFB8B" w14:textId="699165D1" w:rsidR="00430D04" w:rsidRDefault="00430D04" w:rsidP="00430D04">
            <w:pPr>
              <w:pStyle w:val="Standard"/>
              <w:tabs>
                <w:tab w:val="left" w:pos="720"/>
                <w:tab w:val="left" w:pos="1080"/>
              </w:tabs>
              <w:spacing w:after="0" w:line="240" w:lineRule="auto"/>
              <w:rPr>
                <w:rFonts w:eastAsia="Times New Roman" w:cs="Arial"/>
                <w:sz w:val="20"/>
                <w:szCs w:val="20"/>
              </w:rPr>
            </w:pPr>
            <w:r>
              <w:rPr>
                <w:rFonts w:asciiTheme="minorHAnsi" w:eastAsia="Times New Roman" w:hAnsiTheme="minorHAnsi" w:cs="Arial"/>
                <w:sz w:val="20"/>
                <w:szCs w:val="20"/>
              </w:rPr>
              <w:t>Virtual Engineering</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7D8D8" w14:textId="09FBFD2D"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r>
              <w:rPr>
                <w:rFonts w:eastAsia="Times New Roman"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685AD"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01F6"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EF21E"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B21C6"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B573C"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7C60" w14:textId="232C54E8"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r>
              <w:rPr>
                <w:rFonts w:eastAsia="Times New Roman"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663B0"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B37AB"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38810"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7D237"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839F6" w14:textId="76C20C8A"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r>
              <w:rPr>
                <w:rFonts w:eastAsia="Times New Roman"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44BC3"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B56ED"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288D4"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818D6"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DB232"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9E394"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CA68B"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DED0D"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BDB4B"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8C8B3"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86FFD" w14:textId="0D67F62F"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r>
              <w:rPr>
                <w:rFonts w:eastAsia="Times New Roman"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D2B80"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AD199"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7BD6A"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A5563"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A948E"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BA0A"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B0326"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4C0C4"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3F1A1"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95978"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A4256" w14:textId="685C19DA"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r>
              <w:rPr>
                <w:rFonts w:eastAsia="Times New Roman"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FC3D1" w14:textId="77777777"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81C65" w14:textId="3058A38D" w:rsidR="00430D04" w:rsidRDefault="00430D04" w:rsidP="00430D04">
            <w:pPr>
              <w:pStyle w:val="Standard"/>
              <w:tabs>
                <w:tab w:val="left" w:pos="720"/>
                <w:tab w:val="left" w:pos="1080"/>
              </w:tabs>
              <w:spacing w:after="0" w:line="240" w:lineRule="auto"/>
              <w:jc w:val="center"/>
              <w:rPr>
                <w:rFonts w:ascii="Arial" w:eastAsia="Times New Roman" w:hAnsi="Arial" w:cs="Arial"/>
                <w:b/>
                <w:sz w:val="16"/>
                <w:szCs w:val="16"/>
              </w:rPr>
            </w:pPr>
            <w:r>
              <w:rPr>
                <w:rFonts w:eastAsia="Times New Roman" w:cs="Arial"/>
                <w:b/>
                <w:sz w:val="16"/>
                <w:szCs w:val="16"/>
              </w:rPr>
              <w:t>X</w:t>
            </w:r>
          </w:p>
        </w:tc>
      </w:tr>
      <w:tr w:rsidR="00C679FD" w14:paraId="23A37E52" w14:textId="77777777" w:rsidTr="003F04BA">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0702D"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L5 Unit 39</w:t>
            </w:r>
          </w:p>
          <w:p w14:paraId="6E9C2797"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Further Mathematics</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7C35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EBC3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6BC4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1E23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FF31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E233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97E4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E0AF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8514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38BB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4447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3B0F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A0BB7"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046A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3EA2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9F64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A49D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0094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0E3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BF00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453B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DB55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33E5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BB17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36FC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5024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66DB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ABC7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C548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2B2B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E751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DD73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5D16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F9C1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3C3E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F022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r>
      <w:tr w:rsidR="00C679FD" w14:paraId="412F8958" w14:textId="77777777" w:rsidTr="003F04BA">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88823"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L5 Unit 44</w:t>
            </w:r>
          </w:p>
          <w:p w14:paraId="5A5B96BB"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Industrial Power, Electronics and Storage</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272F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1C20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C6A6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A69D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B9CC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A23D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D7C4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21E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ED6B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0B8E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217C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757C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E69F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332C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0735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56FB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B0E7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7401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30C5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DFE9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CA05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F763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691D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6B77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9CE9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82A3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836E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F1B4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73B9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5781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D676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4616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8E8A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3539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BD0B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2706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r>
      <w:tr w:rsidR="00C679FD" w14:paraId="0F93985C" w14:textId="77777777" w:rsidTr="003F04BA">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4D1F4"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L5 Unit 45</w:t>
            </w:r>
          </w:p>
          <w:p w14:paraId="4EE76770" w14:textId="77777777" w:rsidR="00C679FD" w:rsidRDefault="00C679FD">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Industrial Systems</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1FD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262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9C43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868B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5FC6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1305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97964"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2B2B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FEC75"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EF848"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7A957"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8378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6C51"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61D17"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6E800"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F308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56D6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3EC42"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449E"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346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BDEF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65BE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FF45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CED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556D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1412F"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E823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63F2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1F72A"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3D5FB"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4E23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71E43"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0D8DD"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C7F09"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r>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253B6"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45FC" w14:textId="77777777" w:rsidR="00C679FD" w:rsidRDefault="00C679FD">
            <w:pPr>
              <w:pStyle w:val="Standard"/>
              <w:tabs>
                <w:tab w:val="left" w:pos="720"/>
                <w:tab w:val="left" w:pos="1080"/>
              </w:tabs>
              <w:spacing w:after="0" w:line="240" w:lineRule="auto"/>
              <w:jc w:val="center"/>
              <w:rPr>
                <w:rFonts w:ascii="Arial" w:eastAsia="Times New Roman" w:hAnsi="Arial" w:cs="Arial"/>
                <w:b/>
                <w:sz w:val="16"/>
                <w:szCs w:val="16"/>
              </w:rPr>
            </w:pPr>
          </w:p>
        </w:tc>
      </w:tr>
      <w:tr w:rsidR="001113EE" w14:paraId="75D6D979" w14:textId="77777777" w:rsidTr="008D15D3">
        <w:trPr>
          <w:cantSplit/>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8C3A9" w14:textId="77777777" w:rsidR="001113EE" w:rsidRDefault="001113EE" w:rsidP="001113EE">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L5 Unit 51</w:t>
            </w:r>
          </w:p>
          <w:p w14:paraId="7E86F3BF" w14:textId="77777777" w:rsidR="001113EE" w:rsidRDefault="001113EE" w:rsidP="001113EE">
            <w:pPr>
              <w:pStyle w:val="Standard"/>
              <w:tabs>
                <w:tab w:val="left" w:pos="720"/>
                <w:tab w:val="left" w:pos="1080"/>
              </w:tabs>
              <w:spacing w:after="0" w:line="240" w:lineRule="auto"/>
              <w:rPr>
                <w:rFonts w:eastAsia="Times New Roman" w:cs="Arial"/>
                <w:sz w:val="20"/>
                <w:szCs w:val="20"/>
              </w:rPr>
            </w:pPr>
            <w:r>
              <w:rPr>
                <w:rFonts w:eastAsia="Times New Roman" w:cs="Arial"/>
                <w:sz w:val="20"/>
                <w:szCs w:val="20"/>
              </w:rPr>
              <w:t>Sustainability</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1DFEC"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403E8" w14:textId="5DBAE281"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6A670"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BD149" w14:textId="77C62828"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92A4" w14:textId="3F14BB81"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E9577"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8C1AF" w14:textId="18A95B22"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B2D0B"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BCA00" w14:textId="3419DCA0"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13505" w14:textId="5F31C595"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BE48C"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B9FA2" w14:textId="1375CEB5"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7DC58"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D1BA6" w14:textId="2987A69C"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A768F" w14:textId="0B5CAED9"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34230"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EF732"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DEC7"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592E"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E7F2"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BE52A" w14:textId="5E387106"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34337" w14:textId="7DAC835D"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66F58"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A5F0E" w14:textId="3654D39D"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D7EFD"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A71F" w14:textId="6040D84A"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29CD" w14:textId="7C799B1E"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D79A3" w14:textId="7F5BB69D"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025BA" w14:textId="11B59D2E"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41D4C"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4C674" w14:textId="6F46FF1B"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DFB72"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4442A"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7F3D8" w14:textId="77777777"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29796" w14:textId="32B67B9B"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E2179" w14:textId="308AA0B3" w:rsidR="001113EE" w:rsidRPr="0023431D" w:rsidRDefault="001113EE" w:rsidP="008D15D3">
            <w:pPr>
              <w:pStyle w:val="Standard"/>
              <w:tabs>
                <w:tab w:val="left" w:pos="720"/>
                <w:tab w:val="left" w:pos="1080"/>
              </w:tabs>
              <w:spacing w:after="0" w:line="240" w:lineRule="auto"/>
              <w:jc w:val="center"/>
              <w:rPr>
                <w:rFonts w:ascii="Arial" w:eastAsia="Times New Roman" w:hAnsi="Arial" w:cs="Arial"/>
                <w:b/>
                <w:sz w:val="16"/>
                <w:szCs w:val="16"/>
              </w:rPr>
            </w:pPr>
            <w:r w:rsidRPr="0023431D">
              <w:rPr>
                <w:rFonts w:ascii="Arial" w:eastAsia="Times New Roman" w:hAnsi="Arial" w:cs="Arial"/>
                <w:b/>
                <w:sz w:val="16"/>
                <w:szCs w:val="16"/>
              </w:rPr>
              <w:t>X</w:t>
            </w:r>
          </w:p>
        </w:tc>
      </w:tr>
    </w:tbl>
    <w:p w14:paraId="4E61F1D7" w14:textId="77777777" w:rsidR="00414D2E" w:rsidRDefault="00414D2E" w:rsidP="0023431D">
      <w:pPr>
        <w:pStyle w:val="Standard"/>
        <w:tabs>
          <w:tab w:val="left" w:pos="720"/>
          <w:tab w:val="left" w:pos="1080"/>
        </w:tabs>
        <w:spacing w:after="0" w:line="360" w:lineRule="auto"/>
        <w:jc w:val="center"/>
      </w:pPr>
    </w:p>
    <w:sectPr w:rsidR="00414D2E" w:rsidSect="008D15D3">
      <w:pgSz w:w="16838" w:h="11906" w:orient="landscape"/>
      <w:pgMar w:top="720" w:right="765" w:bottom="720" w:left="7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E430" w14:textId="77777777" w:rsidR="00276563" w:rsidRDefault="00276563">
      <w:r>
        <w:separator/>
      </w:r>
    </w:p>
  </w:endnote>
  <w:endnote w:type="continuationSeparator" w:id="0">
    <w:p w14:paraId="35BB7E9E" w14:textId="77777777" w:rsidR="00276563" w:rsidRDefault="0027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Verdana-Bol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3C69" w14:textId="77777777" w:rsidR="00276563" w:rsidRDefault="00276563">
    <w:pPr>
      <w:pStyle w:val="Footer"/>
    </w:pPr>
  </w:p>
  <w:p w14:paraId="5C5E3387" w14:textId="77777777" w:rsidR="00276563" w:rsidRDefault="00276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18A7" w14:textId="77777777" w:rsidR="00276563" w:rsidRDefault="00276563">
    <w:pPr>
      <w:pStyle w:val="Footer"/>
    </w:pPr>
  </w:p>
  <w:p w14:paraId="6E4FB161" w14:textId="77777777" w:rsidR="00276563" w:rsidRDefault="00276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1EFD" w14:textId="77777777" w:rsidR="00276563" w:rsidRDefault="00276563">
    <w:pPr>
      <w:pStyle w:val="Footer"/>
      <w:jc w:val="center"/>
    </w:pPr>
  </w:p>
  <w:p w14:paraId="4DDE8A34" w14:textId="77777777" w:rsidR="00276563" w:rsidRDefault="00276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F619" w14:textId="77777777" w:rsidR="00276563" w:rsidRDefault="00276563">
    <w:pPr>
      <w:pStyle w:val="Footer"/>
      <w:jc w:val="center"/>
    </w:pPr>
  </w:p>
  <w:p w14:paraId="097C1426" w14:textId="77777777" w:rsidR="00276563" w:rsidRDefault="0027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828B" w14:textId="77777777" w:rsidR="00276563" w:rsidRDefault="00276563">
      <w:r>
        <w:rPr>
          <w:color w:val="000000"/>
        </w:rPr>
        <w:separator/>
      </w:r>
    </w:p>
  </w:footnote>
  <w:footnote w:type="continuationSeparator" w:id="0">
    <w:p w14:paraId="33B4A827" w14:textId="77777777" w:rsidR="00276563" w:rsidRDefault="0027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840A" w14:textId="77777777" w:rsidR="00276563" w:rsidRPr="004D495A" w:rsidRDefault="00276563">
    <w:pPr>
      <w:pStyle w:val="Header"/>
    </w:pPr>
    <w:r>
      <w:rPr>
        <w:noProof/>
        <w:lang w:eastAsia="en-GB"/>
      </w:rPr>
      <w:ptab w:relativeTo="margin" w:alignment="right" w:leader="non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85"/>
    </w:tblGrid>
    <w:tr w:rsidR="00276563" w14:paraId="6A51A3B5" w14:textId="77777777" w:rsidTr="009C0DD2">
      <w:tc>
        <w:tcPr>
          <w:tcW w:w="5228" w:type="dxa"/>
          <w:vAlign w:val="center"/>
        </w:tcPr>
        <w:p w14:paraId="70DB64D9" w14:textId="77777777" w:rsidR="00276563" w:rsidRDefault="00276563" w:rsidP="009C0DD2">
          <w:pPr>
            <w:pStyle w:val="Header"/>
            <w:spacing w:after="0"/>
            <w:rPr>
              <w:noProof/>
              <w:lang w:eastAsia="en-GB"/>
            </w:rPr>
          </w:pPr>
          <w:r>
            <w:rPr>
              <w:noProof/>
            </w:rPr>
            <w:drawing>
              <wp:inline distT="0" distB="0" distL="0" distR="0" wp14:anchorId="678E072D" wp14:editId="4EB6437B">
                <wp:extent cx="1630800" cy="298800"/>
                <wp:effectExtent l="0" t="0" r="7620" b="6350"/>
                <wp:docPr id="44" name="Picture 44"/>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30800" cy="298800"/>
                        </a:xfrm>
                        <a:prstGeom prst="rect">
                          <a:avLst/>
                        </a:prstGeom>
                      </pic:spPr>
                    </pic:pic>
                  </a:graphicData>
                </a:graphic>
              </wp:inline>
            </w:drawing>
          </w:r>
        </w:p>
      </w:tc>
      <w:tc>
        <w:tcPr>
          <w:tcW w:w="5228" w:type="dxa"/>
        </w:tcPr>
        <w:p w14:paraId="2BB8C45B" w14:textId="77777777" w:rsidR="00276563" w:rsidRDefault="00276563" w:rsidP="009C0DD2">
          <w:pPr>
            <w:pStyle w:val="Header"/>
            <w:spacing w:after="0"/>
            <w:jc w:val="right"/>
            <w:rPr>
              <w:noProof/>
              <w:lang w:eastAsia="en-GB"/>
            </w:rPr>
          </w:pPr>
          <w:r>
            <w:rPr>
              <w:noProof/>
              <w:lang w:eastAsia="en-GB"/>
            </w:rPr>
            <w:drawing>
              <wp:inline distT="0" distB="0" distL="0" distR="0" wp14:anchorId="4147A25F" wp14:editId="742CE46F">
                <wp:extent cx="1477645" cy="616585"/>
                <wp:effectExtent l="0" t="0" r="8255" b="0"/>
                <wp:docPr id="45" name="Picture 45"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4"/>
                        <pic:cNvPicPr>
                          <a:picLocks noChangeAspect="1" noChangeArrowheads="1"/>
                        </pic:cNvPicPr>
                      </pic:nvPicPr>
                      <pic:blipFill>
                        <a:blip r:embed="rId2">
                          <a:extLst>
                            <a:ext uri="{28A0092B-C50C-407E-A947-70E740481C1C}">
                              <a14:useLocalDpi xmlns:a14="http://schemas.microsoft.com/office/drawing/2010/main" val="0"/>
                            </a:ext>
                          </a:extLst>
                        </a:blip>
                        <a:srcRect l="74214" t="87840"/>
                        <a:stretch>
                          <a:fillRect/>
                        </a:stretch>
                      </pic:blipFill>
                      <pic:spPr bwMode="auto">
                        <a:xfrm>
                          <a:off x="0" y="0"/>
                          <a:ext cx="1477645" cy="616585"/>
                        </a:xfrm>
                        <a:prstGeom prst="rect">
                          <a:avLst/>
                        </a:prstGeom>
                        <a:noFill/>
                        <a:ln>
                          <a:noFill/>
                        </a:ln>
                      </pic:spPr>
                    </pic:pic>
                  </a:graphicData>
                </a:graphic>
              </wp:inline>
            </w:drawing>
          </w:r>
        </w:p>
      </w:tc>
    </w:tr>
  </w:tbl>
  <w:p w14:paraId="59024FFD" w14:textId="77777777" w:rsidR="00276563" w:rsidRPr="009C0DD2" w:rsidRDefault="00276563" w:rsidP="009C0DD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1385" w14:textId="77777777" w:rsidR="00276563" w:rsidRPr="008C3B20" w:rsidRDefault="00276563" w:rsidP="008C3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98CC" w14:textId="77777777" w:rsidR="00276563" w:rsidRDefault="00276563">
    <w:pPr>
      <w:pStyle w:val="Header"/>
      <w:tabs>
        <w:tab w:val="clear" w:pos="4513"/>
        <w:tab w:val="clear" w:pos="9026"/>
        <w:tab w:val="left" w:pos="3217"/>
        <w:tab w:val="left" w:pos="4965"/>
      </w:tabs>
      <w:rPr>
        <w:sz w:val="12"/>
        <w:szCs w:val="12"/>
      </w:rPr>
    </w:pPr>
    <w:r>
      <w:rPr>
        <w:sz w:val="12"/>
        <w:szCs w:val="12"/>
      </w:rPr>
      <w:tab/>
    </w:r>
    <w:r>
      <w:rPr>
        <w:sz w:val="12"/>
        <w:szCs w:val="12"/>
      </w:rPr>
      <w:tab/>
    </w:r>
  </w:p>
  <w:p w14:paraId="3F048934" w14:textId="77777777" w:rsidR="00276563" w:rsidRDefault="00276563">
    <w:pPr>
      <w:pStyle w:val="Heade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70A7" w14:textId="77777777" w:rsidR="00276563" w:rsidRPr="006B7A51" w:rsidRDefault="00276563" w:rsidP="006B7A5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AC7"/>
    <w:multiLevelType w:val="multilevel"/>
    <w:tmpl w:val="4FAC08F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5566E6C"/>
    <w:multiLevelType w:val="multilevel"/>
    <w:tmpl w:val="E076B7F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95779D5"/>
    <w:multiLevelType w:val="multilevel"/>
    <w:tmpl w:val="6A001BE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CE0D83"/>
    <w:multiLevelType w:val="multilevel"/>
    <w:tmpl w:val="0FB8429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E94A19"/>
    <w:multiLevelType w:val="multilevel"/>
    <w:tmpl w:val="D9229632"/>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37052C5"/>
    <w:multiLevelType w:val="multilevel"/>
    <w:tmpl w:val="3D86C9BA"/>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69E606B"/>
    <w:multiLevelType w:val="multilevel"/>
    <w:tmpl w:val="6100D800"/>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1D19CC"/>
    <w:multiLevelType w:val="multilevel"/>
    <w:tmpl w:val="D16E2618"/>
    <w:styleLink w:val="WWNum8"/>
    <w:lvl w:ilvl="0">
      <w:numFmt w:val="bullet"/>
      <w:lvlText w:val=""/>
      <w:lvlJc w:val="left"/>
      <w:rPr>
        <w:rFonts w:ascii="Symbol" w:hAnsi="Symbol"/>
      </w:rPr>
    </w:lvl>
    <w:lvl w:ilvl="1">
      <w:numFmt w:val="bullet"/>
      <w:lvlText w:val="•"/>
      <w:lvlJc w:val="left"/>
      <w:rPr>
        <w:rFonts w:ascii="Times New Roman" w:eastAsia="Times New Roman" w:hAnsi="Times New Roman"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66237BD"/>
    <w:multiLevelType w:val="multilevel"/>
    <w:tmpl w:val="02F00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96793A"/>
    <w:multiLevelType w:val="multilevel"/>
    <w:tmpl w:val="045A47A8"/>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29124AB"/>
    <w:multiLevelType w:val="multilevel"/>
    <w:tmpl w:val="C804EF6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B967E8"/>
    <w:multiLevelType w:val="multilevel"/>
    <w:tmpl w:val="DBD04C72"/>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93C6D63"/>
    <w:multiLevelType w:val="multilevel"/>
    <w:tmpl w:val="579C64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31A7005"/>
    <w:multiLevelType w:val="multilevel"/>
    <w:tmpl w:val="A30470E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41066D1"/>
    <w:multiLevelType w:val="multilevel"/>
    <w:tmpl w:val="3F8C5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49D744A"/>
    <w:multiLevelType w:val="multilevel"/>
    <w:tmpl w:val="1AA44CF4"/>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5330930"/>
    <w:multiLevelType w:val="multilevel"/>
    <w:tmpl w:val="3C2E072A"/>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55F0209"/>
    <w:multiLevelType w:val="multilevel"/>
    <w:tmpl w:val="8A4881D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69A3477"/>
    <w:multiLevelType w:val="multilevel"/>
    <w:tmpl w:val="0F6866BA"/>
    <w:styleLink w:val="WWNum1"/>
    <w:lvl w:ilvl="0">
      <w:start w:val="1"/>
      <w:numFmt w:val="decimal"/>
      <w:lvlText w:val="%1"/>
      <w:lvlJc w:val="left"/>
      <w:rPr>
        <w:rFonts w:ascii="Arial" w:hAnsi="Arial"/>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7D33989"/>
    <w:multiLevelType w:val="multilevel"/>
    <w:tmpl w:val="EB4C6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3A0A16"/>
    <w:multiLevelType w:val="multilevel"/>
    <w:tmpl w:val="56F66FB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48B1B0B"/>
    <w:multiLevelType w:val="multilevel"/>
    <w:tmpl w:val="40E4BAB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CEF0B4D"/>
    <w:multiLevelType w:val="multilevel"/>
    <w:tmpl w:val="7BBC78B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9ED03E0"/>
    <w:multiLevelType w:val="multilevel"/>
    <w:tmpl w:val="BBD46958"/>
    <w:styleLink w:val="WWNum20"/>
    <w:lvl w:ilvl="0">
      <w:numFmt w:val="bullet"/>
      <w:lvlText w:val="-"/>
      <w:lvlJc w:val="left"/>
      <w:rPr>
        <w:rFonts w:ascii="Calibri" w:eastAsia="Calibri" w:hAnsi="Calibri" w:cs="Arial"/>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CE9638C"/>
    <w:multiLevelType w:val="multilevel"/>
    <w:tmpl w:val="6AE8C468"/>
    <w:styleLink w:val="WWNum16"/>
    <w:lvl w:ilvl="0">
      <w:numFmt w:val="bullet"/>
      <w:lvlText w:val=""/>
      <w:lvlJc w:val="left"/>
      <w:rPr>
        <w:rFonts w:ascii="SymbolMT" w:eastAsia="SymbolMT" w:hAnsi="SymbolMT" w:cs="SymbolM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F1120BE"/>
    <w:multiLevelType w:val="multilevel"/>
    <w:tmpl w:val="A6E4F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4D26D4B"/>
    <w:multiLevelType w:val="multilevel"/>
    <w:tmpl w:val="4074F92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8860022"/>
    <w:multiLevelType w:val="multilevel"/>
    <w:tmpl w:val="B0EE3DD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CD24A16"/>
    <w:multiLevelType w:val="multilevel"/>
    <w:tmpl w:val="DF4E610E"/>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F460134"/>
    <w:multiLevelType w:val="multilevel"/>
    <w:tmpl w:val="AB44E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8"/>
  </w:num>
  <w:num w:numId="3">
    <w:abstractNumId w:val="16"/>
  </w:num>
  <w:num w:numId="4">
    <w:abstractNumId w:val="9"/>
  </w:num>
  <w:num w:numId="5">
    <w:abstractNumId w:val="11"/>
  </w:num>
  <w:num w:numId="6">
    <w:abstractNumId w:val="6"/>
  </w:num>
  <w:num w:numId="7">
    <w:abstractNumId w:val="4"/>
  </w:num>
  <w:num w:numId="8">
    <w:abstractNumId w:val="20"/>
  </w:num>
  <w:num w:numId="9">
    <w:abstractNumId w:val="7"/>
  </w:num>
  <w:num w:numId="10">
    <w:abstractNumId w:val="26"/>
  </w:num>
  <w:num w:numId="11">
    <w:abstractNumId w:val="1"/>
  </w:num>
  <w:num w:numId="12">
    <w:abstractNumId w:val="27"/>
  </w:num>
  <w:num w:numId="13">
    <w:abstractNumId w:val="0"/>
  </w:num>
  <w:num w:numId="14">
    <w:abstractNumId w:val="15"/>
  </w:num>
  <w:num w:numId="15">
    <w:abstractNumId w:val="13"/>
  </w:num>
  <w:num w:numId="16">
    <w:abstractNumId w:val="28"/>
  </w:num>
  <w:num w:numId="17">
    <w:abstractNumId w:val="23"/>
  </w:num>
  <w:num w:numId="18">
    <w:abstractNumId w:val="24"/>
  </w:num>
  <w:num w:numId="19">
    <w:abstractNumId w:val="18"/>
    <w:lvlOverride w:ilvl="0">
      <w:startOverride w:val="1"/>
    </w:lvlOverride>
  </w:num>
  <w:num w:numId="20">
    <w:abstractNumId w:val="14"/>
  </w:num>
  <w:num w:numId="21">
    <w:abstractNumId w:val="19"/>
  </w:num>
  <w:num w:numId="22">
    <w:abstractNumId w:val="29"/>
  </w:num>
  <w:num w:numId="23">
    <w:abstractNumId w:val="8"/>
  </w:num>
  <w:num w:numId="24">
    <w:abstractNumId w:val="12"/>
  </w:num>
  <w:num w:numId="25">
    <w:abstractNumId w:val="25"/>
  </w:num>
  <w:num w:numId="26">
    <w:abstractNumId w:val="17"/>
  </w:num>
  <w:num w:numId="27">
    <w:abstractNumId w:val="10"/>
  </w:num>
  <w:num w:numId="28">
    <w:abstractNumId w:val="21"/>
  </w:num>
  <w:num w:numId="29">
    <w:abstractNumId w:val="3"/>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2E"/>
    <w:rsid w:val="000339E0"/>
    <w:rsid w:val="00035B3D"/>
    <w:rsid w:val="00065E4E"/>
    <w:rsid w:val="000B7F0C"/>
    <w:rsid w:val="000D571A"/>
    <w:rsid w:val="000F515C"/>
    <w:rsid w:val="00101397"/>
    <w:rsid w:val="001113EE"/>
    <w:rsid w:val="001256C3"/>
    <w:rsid w:val="00135658"/>
    <w:rsid w:val="00141E80"/>
    <w:rsid w:val="001778B0"/>
    <w:rsid w:val="0022043B"/>
    <w:rsid w:val="0023431D"/>
    <w:rsid w:val="00234BDB"/>
    <w:rsid w:val="00276563"/>
    <w:rsid w:val="002821FB"/>
    <w:rsid w:val="002D3F2F"/>
    <w:rsid w:val="002D63B5"/>
    <w:rsid w:val="002F7CB9"/>
    <w:rsid w:val="00336DFE"/>
    <w:rsid w:val="003E7C1A"/>
    <w:rsid w:val="003F04BA"/>
    <w:rsid w:val="00414D2E"/>
    <w:rsid w:val="00430D04"/>
    <w:rsid w:val="004A4643"/>
    <w:rsid w:val="004B4906"/>
    <w:rsid w:val="004D495A"/>
    <w:rsid w:val="004E6AF5"/>
    <w:rsid w:val="0050193A"/>
    <w:rsid w:val="00567693"/>
    <w:rsid w:val="005A6D3D"/>
    <w:rsid w:val="005B1D4E"/>
    <w:rsid w:val="005E2531"/>
    <w:rsid w:val="0062324D"/>
    <w:rsid w:val="006856D3"/>
    <w:rsid w:val="006B7A51"/>
    <w:rsid w:val="006C728A"/>
    <w:rsid w:val="007310C4"/>
    <w:rsid w:val="00751AA2"/>
    <w:rsid w:val="007669BA"/>
    <w:rsid w:val="007805C4"/>
    <w:rsid w:val="007B7F79"/>
    <w:rsid w:val="007E6B13"/>
    <w:rsid w:val="00803257"/>
    <w:rsid w:val="00850F73"/>
    <w:rsid w:val="008522F7"/>
    <w:rsid w:val="00870FA8"/>
    <w:rsid w:val="008B6516"/>
    <w:rsid w:val="008C3B20"/>
    <w:rsid w:val="008C7EF6"/>
    <w:rsid w:val="008D15D3"/>
    <w:rsid w:val="008E2D25"/>
    <w:rsid w:val="009859F9"/>
    <w:rsid w:val="009C0DD2"/>
    <w:rsid w:val="00A00F69"/>
    <w:rsid w:val="00A52E24"/>
    <w:rsid w:val="00AA09CF"/>
    <w:rsid w:val="00AB1561"/>
    <w:rsid w:val="00AF458C"/>
    <w:rsid w:val="00B859E7"/>
    <w:rsid w:val="00BD1ADD"/>
    <w:rsid w:val="00C574F5"/>
    <w:rsid w:val="00C62C41"/>
    <w:rsid w:val="00C64917"/>
    <w:rsid w:val="00C679FD"/>
    <w:rsid w:val="00CC2B96"/>
    <w:rsid w:val="00DD586A"/>
    <w:rsid w:val="00DD73E0"/>
    <w:rsid w:val="00E06BD0"/>
    <w:rsid w:val="00E1476D"/>
    <w:rsid w:val="00E16C63"/>
    <w:rsid w:val="00E17607"/>
    <w:rsid w:val="00E84583"/>
    <w:rsid w:val="00E85C50"/>
    <w:rsid w:val="00EC6D47"/>
    <w:rsid w:val="00F300DA"/>
    <w:rsid w:val="00F53045"/>
    <w:rsid w:val="00FD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53CD9"/>
  <w15:docId w15:val="{605D4ECE-DB9B-430E-8EA6-F77A207B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2">
    <w:name w:val="heading 2"/>
    <w:basedOn w:val="Normal"/>
    <w:next w:val="Normal"/>
    <w:qFormat/>
    <w:pPr>
      <w:keepNext/>
      <w:keepLines/>
      <w:widowControl/>
      <w:suppressAutoHyphens w:val="0"/>
      <w:spacing w:before="40" w:line="276" w:lineRule="auto"/>
      <w:textAlignment w:val="auto"/>
      <w:outlineLvl w:val="1"/>
    </w:pPr>
    <w:rPr>
      <w:rFonts w:ascii="Cambria" w:eastAsia="Times New Roman" w:hAnsi="Cambria"/>
      <w:color w:val="365F91"/>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Header">
    <w:name w:val="header"/>
    <w:basedOn w:val="Standard"/>
    <w:uiPriority w:val="99"/>
    <w:pPr>
      <w:tabs>
        <w:tab w:val="center" w:pos="4513"/>
        <w:tab w:val="right" w:pos="9026"/>
      </w:tabs>
    </w:pPr>
  </w:style>
  <w:style w:type="paragraph" w:styleId="BalloonText">
    <w:name w:val="Balloon Text"/>
    <w:basedOn w:val="Standard"/>
    <w:pPr>
      <w:spacing w:after="0" w:line="240" w:lineRule="auto"/>
    </w:pPr>
    <w:rPr>
      <w:rFonts w:ascii="Tahoma" w:hAnsi="Tahoma" w:cs="Tahoma"/>
      <w:sz w:val="16"/>
      <w:szCs w:val="16"/>
    </w:rPr>
  </w:style>
  <w:style w:type="paragraph" w:styleId="Footer">
    <w:name w:val="footer"/>
    <w:basedOn w:val="Standard"/>
    <w:pPr>
      <w:tabs>
        <w:tab w:val="center" w:pos="4513"/>
        <w:tab w:val="right" w:pos="9026"/>
      </w:tabs>
      <w:spacing w:after="0" w:line="240" w:lineRule="auto"/>
    </w:pPr>
  </w:style>
  <w:style w:type="paragraph" w:styleId="ListParagraph">
    <w:name w:val="List Paragraph"/>
    <w:basedOn w:val="Standard"/>
    <w:pPr>
      <w:spacing w:after="0" w:line="240" w:lineRule="auto"/>
      <w:ind w:left="720"/>
    </w:pPr>
    <w:rPr>
      <w:rFonts w:ascii="Arial" w:eastAsia="Times New Roman" w:hAnsi="Arial"/>
      <w:sz w:val="24"/>
      <w:szCs w:val="24"/>
    </w:rPr>
  </w:style>
  <w:style w:type="paragraph" w:customStyle="1" w:styleId="Default">
    <w:name w:val="Default"/>
    <w:pPr>
      <w:widowControl/>
      <w:suppressAutoHyphens/>
    </w:pPr>
    <w:rPr>
      <w:rFonts w:ascii="Arial" w:hAnsi="Arial" w:cs="Arial"/>
      <w:color w:val="000000"/>
      <w:sz w:val="24"/>
      <w:szCs w:val="24"/>
    </w:rPr>
  </w:style>
  <w:style w:type="paragraph" w:styleId="NormalWeb">
    <w:name w:val="Normal (Web)"/>
    <w:basedOn w:val="Standard"/>
    <w:pPr>
      <w:spacing w:before="280" w:after="280" w:line="240" w:lineRule="auto"/>
    </w:pPr>
    <w:rPr>
      <w:rFonts w:ascii="Times New Roman" w:eastAsia="Times New Roman" w:hAnsi="Times New Roman"/>
      <w:sz w:val="24"/>
      <w:szCs w:val="24"/>
      <w:lang w:eastAsia="en-GB"/>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HeaderChar">
    <w:name w:val="Header Char"/>
    <w:basedOn w:val="DefaultParagraphFont"/>
    <w:uiPriority w:val="99"/>
    <w:rPr>
      <w:sz w:val="22"/>
      <w:szCs w:val="22"/>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FooterChar">
    <w:name w:val="Footer Char"/>
    <w:basedOn w:val="DefaultParagraphFont"/>
    <w:rPr>
      <w:sz w:val="22"/>
      <w:szCs w:val="22"/>
      <w:lang w:eastAsia="en-US"/>
    </w:rPr>
  </w:style>
  <w:style w:type="character" w:customStyle="1" w:styleId="Internetlink">
    <w:name w:val="Internet link"/>
    <w:basedOn w:val="DefaultParagraphFont"/>
    <w:rPr>
      <w:color w:val="0000FF"/>
      <w:u w:val="single"/>
    </w:rPr>
  </w:style>
  <w:style w:type="character" w:customStyle="1" w:styleId="ListLabel1">
    <w:name w:val="ListLabel 1"/>
    <w:rPr>
      <w:rFonts w:ascii="Arial" w:hAnsi="Arial"/>
      <w:b/>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eastAsia="Times New Roman" w:cs="Arial"/>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56">
    <w:name w:val="ListLabel 56"/>
    <w:rPr>
      <w:rFonts w:eastAsia="Calibri" w:cs="Arial"/>
      <w:sz w:val="24"/>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42">
    <w:name w:val="ListLabel 42"/>
    <w:rPr>
      <w:rFonts w:eastAsia="SymbolMT" w:cs="SymbolMT"/>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BulletSymbols">
    <w:name w:val="Bullet Symbols"/>
    <w:rPr>
      <w:rFonts w:ascii="OpenSymbol" w:eastAsia="OpenSymbol" w:hAnsi="OpenSymbol" w:cs="OpenSymbol"/>
    </w:rPr>
  </w:style>
  <w:style w:type="character" w:customStyle="1" w:styleId="Heading2Char">
    <w:name w:val="Heading 2 Char"/>
    <w:basedOn w:val="DefaultParagraphFont"/>
    <w:rPr>
      <w:rFonts w:ascii="Cambria" w:eastAsia="Times New Roman" w:hAnsi="Cambria" w:cs="Times New Roman"/>
      <w:color w:val="365F91"/>
      <w:kern w:val="0"/>
      <w:sz w:val="26"/>
      <w:szCs w:val="26"/>
      <w:lang w:eastAsia="en-U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20">
    <w:name w:val="WWNum20"/>
    <w:basedOn w:val="NoList"/>
    <w:pPr>
      <w:numPr>
        <w:numId w:val="17"/>
      </w:numPr>
    </w:pPr>
  </w:style>
  <w:style w:type="numbering" w:customStyle="1" w:styleId="WWNum16">
    <w:name w:val="WWNum16"/>
    <w:basedOn w:val="NoList"/>
    <w:pPr>
      <w:numPr>
        <w:numId w:val="18"/>
      </w:numPr>
    </w:pPr>
  </w:style>
  <w:style w:type="table" w:styleId="TableGrid">
    <w:name w:val="Table Grid"/>
    <w:basedOn w:val="TableNormal"/>
    <w:uiPriority w:val="59"/>
    <w:rsid w:val="009C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E4E"/>
    <w:rPr>
      <w:sz w:val="16"/>
      <w:szCs w:val="16"/>
    </w:rPr>
  </w:style>
  <w:style w:type="paragraph" w:styleId="CommentText">
    <w:name w:val="annotation text"/>
    <w:basedOn w:val="Normal"/>
    <w:link w:val="CommentTextChar"/>
    <w:uiPriority w:val="99"/>
    <w:semiHidden/>
    <w:unhideWhenUsed/>
    <w:rsid w:val="00065E4E"/>
    <w:rPr>
      <w:sz w:val="20"/>
    </w:rPr>
  </w:style>
  <w:style w:type="character" w:customStyle="1" w:styleId="CommentTextChar">
    <w:name w:val="Comment Text Char"/>
    <w:basedOn w:val="DefaultParagraphFont"/>
    <w:link w:val="CommentText"/>
    <w:uiPriority w:val="99"/>
    <w:semiHidden/>
    <w:rsid w:val="00065E4E"/>
    <w:rPr>
      <w:sz w:val="20"/>
    </w:rPr>
  </w:style>
  <w:style w:type="paragraph" w:styleId="CommentSubject">
    <w:name w:val="annotation subject"/>
    <w:basedOn w:val="CommentText"/>
    <w:next w:val="CommentText"/>
    <w:link w:val="CommentSubjectChar"/>
    <w:uiPriority w:val="99"/>
    <w:semiHidden/>
    <w:unhideWhenUsed/>
    <w:rsid w:val="00065E4E"/>
    <w:rPr>
      <w:b/>
      <w:bCs/>
    </w:rPr>
  </w:style>
  <w:style w:type="character" w:customStyle="1" w:styleId="CommentSubjectChar">
    <w:name w:val="Comment Subject Char"/>
    <w:basedOn w:val="CommentTextChar"/>
    <w:link w:val="CommentSubject"/>
    <w:uiPriority w:val="99"/>
    <w:semiHidden/>
    <w:rsid w:val="00065E4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7082">
      <w:bodyDiv w:val="1"/>
      <w:marLeft w:val="0"/>
      <w:marRight w:val="0"/>
      <w:marTop w:val="0"/>
      <w:marBottom w:val="0"/>
      <w:divBdr>
        <w:top w:val="none" w:sz="0" w:space="0" w:color="auto"/>
        <w:left w:val="none" w:sz="0" w:space="0" w:color="auto"/>
        <w:bottom w:val="none" w:sz="0" w:space="0" w:color="auto"/>
        <w:right w:val="none" w:sz="0" w:space="0" w:color="auto"/>
      </w:divBdr>
    </w:div>
    <w:div w:id="781999478">
      <w:bodyDiv w:val="1"/>
      <w:marLeft w:val="0"/>
      <w:marRight w:val="0"/>
      <w:marTop w:val="0"/>
      <w:marBottom w:val="0"/>
      <w:divBdr>
        <w:top w:val="none" w:sz="0" w:space="0" w:color="auto"/>
        <w:left w:val="none" w:sz="0" w:space="0" w:color="auto"/>
        <w:bottom w:val="none" w:sz="0" w:space="0" w:color="auto"/>
        <w:right w:val="none" w:sz="0" w:space="0" w:color="auto"/>
      </w:divBdr>
    </w:div>
    <w:div w:id="1008295517">
      <w:bodyDiv w:val="1"/>
      <w:marLeft w:val="0"/>
      <w:marRight w:val="0"/>
      <w:marTop w:val="0"/>
      <w:marBottom w:val="0"/>
      <w:divBdr>
        <w:top w:val="none" w:sz="0" w:space="0" w:color="auto"/>
        <w:left w:val="none" w:sz="0" w:space="0" w:color="auto"/>
        <w:bottom w:val="none" w:sz="0" w:space="0" w:color="auto"/>
        <w:right w:val="none" w:sz="0" w:space="0" w:color="auto"/>
      </w:divBdr>
    </w:div>
    <w:div w:id="1093278531">
      <w:bodyDiv w:val="1"/>
      <w:marLeft w:val="0"/>
      <w:marRight w:val="0"/>
      <w:marTop w:val="0"/>
      <w:marBottom w:val="0"/>
      <w:divBdr>
        <w:top w:val="none" w:sz="0" w:space="0" w:color="auto"/>
        <w:left w:val="none" w:sz="0" w:space="0" w:color="auto"/>
        <w:bottom w:val="none" w:sz="0" w:space="0" w:color="auto"/>
        <w:right w:val="none" w:sz="0" w:space="0" w:color="auto"/>
      </w:divBdr>
    </w:div>
    <w:div w:id="1613777718">
      <w:bodyDiv w:val="1"/>
      <w:marLeft w:val="0"/>
      <w:marRight w:val="0"/>
      <w:marTop w:val="0"/>
      <w:marBottom w:val="0"/>
      <w:divBdr>
        <w:top w:val="none" w:sz="0" w:space="0" w:color="auto"/>
        <w:left w:val="none" w:sz="0" w:space="0" w:color="auto"/>
        <w:bottom w:val="none" w:sz="0" w:space="0" w:color="auto"/>
        <w:right w:val="none" w:sz="0" w:space="0" w:color="auto"/>
      </w:divBdr>
    </w:div>
    <w:div w:id="1618488159">
      <w:bodyDiv w:val="1"/>
      <w:marLeft w:val="0"/>
      <w:marRight w:val="0"/>
      <w:marTop w:val="0"/>
      <w:marBottom w:val="0"/>
      <w:divBdr>
        <w:top w:val="none" w:sz="0" w:space="0" w:color="auto"/>
        <w:left w:val="none" w:sz="0" w:space="0" w:color="auto"/>
        <w:bottom w:val="none" w:sz="0" w:space="0" w:color="auto"/>
        <w:right w:val="none" w:sz="0" w:space="0" w:color="auto"/>
      </w:divBdr>
    </w:div>
    <w:div w:id="1620839728">
      <w:bodyDiv w:val="1"/>
      <w:marLeft w:val="0"/>
      <w:marRight w:val="0"/>
      <w:marTop w:val="0"/>
      <w:marBottom w:val="0"/>
      <w:divBdr>
        <w:top w:val="none" w:sz="0" w:space="0" w:color="auto"/>
        <w:left w:val="none" w:sz="0" w:space="0" w:color="auto"/>
        <w:bottom w:val="none" w:sz="0" w:space="0" w:color="auto"/>
        <w:right w:val="none" w:sz="0" w:space="0" w:color="auto"/>
      </w:divBdr>
    </w:div>
    <w:div w:id="1659380862">
      <w:bodyDiv w:val="1"/>
      <w:marLeft w:val="0"/>
      <w:marRight w:val="0"/>
      <w:marTop w:val="0"/>
      <w:marBottom w:val="0"/>
      <w:divBdr>
        <w:top w:val="none" w:sz="0" w:space="0" w:color="auto"/>
        <w:left w:val="none" w:sz="0" w:space="0" w:color="auto"/>
        <w:bottom w:val="none" w:sz="0" w:space="0" w:color="auto"/>
        <w:right w:val="none" w:sz="0" w:space="0" w:color="auto"/>
      </w:divBdr>
    </w:div>
    <w:div w:id="171353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049BC031D564C98A93297AE87A927" ma:contentTypeVersion="4" ma:contentTypeDescription="Create a new document." ma:contentTypeScope="" ma:versionID="3138ad1cf4bb4dced7976876df59ca43">
  <xsd:schema xmlns:xsd="http://www.w3.org/2001/XMLSchema" xmlns:xs="http://www.w3.org/2001/XMLSchema" xmlns:p="http://schemas.microsoft.com/office/2006/metadata/properties" xmlns:ns2="1e6ea8a0-32a1-478a-ab46-17a50ae48bef" targetNamespace="http://schemas.microsoft.com/office/2006/metadata/properties" ma:root="true" ma:fieldsID="a31662e85cd3ef6f850e9f4efbf131dd" ns2:_="">
    <xsd:import namespace="1e6ea8a0-32a1-478a-ab46-17a50ae4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8a0-32a1-478a-ab46-17a50ae4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04E31-B139-42A4-B395-D420846C8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8a0-32a1-478a-ab46-17a50ae4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D3BE3-8B81-4131-9D8F-B703B949A78B}">
  <ds:schemaRefs>
    <ds:schemaRef ds:uri="http://purl.org/dc/elements/1.1/"/>
    <ds:schemaRef ds:uri="1e6ea8a0-32a1-478a-ab46-17a50ae48bef"/>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6A97769-0508-4157-B9B9-2C0412B22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dc:creator>
  <cp:lastModifiedBy>Mark Hogg</cp:lastModifiedBy>
  <cp:revision>2</cp:revision>
  <cp:lastPrinted>2014-10-29T16:15:00Z</cp:lastPrinted>
  <dcterms:created xsi:type="dcterms:W3CDTF">2022-04-11T08:43:00Z</dcterms:created>
  <dcterms:modified xsi:type="dcterms:W3CDTF">2022-04-11T08:43:00Z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Teesside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0x010100B9F049BC031D564C98A93297AE87A927</vt:lpwstr>
  </property>
</Properties>
</file>